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3956A5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3956A5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3956A5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3956A5">
        <w:rPr>
          <w:bCs/>
          <w:color w:val="000000"/>
          <w:sz w:val="22"/>
          <w:szCs w:val="22"/>
          <w:lang w:val="lv-LV"/>
        </w:rPr>
        <w:t xml:space="preserve"> </w:t>
      </w:r>
      <w:r w:rsidRPr="003956A5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8D4AC7" w:rsidRPr="008D4AC7" w:rsidRDefault="008D4AC7" w:rsidP="008D4AC7">
      <w:pPr>
        <w:jc w:val="center"/>
        <w:rPr>
          <w:b/>
          <w:color w:val="000000"/>
          <w:sz w:val="22"/>
          <w:szCs w:val="22"/>
          <w:lang w:val="lv-LV"/>
        </w:rPr>
      </w:pPr>
      <w:r w:rsidRPr="008D4AC7">
        <w:rPr>
          <w:b/>
          <w:color w:val="000000"/>
          <w:sz w:val="22"/>
          <w:szCs w:val="22"/>
          <w:lang w:val="lv-LV"/>
        </w:rPr>
        <w:t xml:space="preserve">Par projekta izstrādi LTV ēkas automātiskās ugunsgrēka atklāšanas un trauksmes </w:t>
      </w:r>
    </w:p>
    <w:p w:rsidR="002D7612" w:rsidRPr="003956A5" w:rsidRDefault="008D4AC7" w:rsidP="008D4AC7">
      <w:pPr>
        <w:jc w:val="center"/>
        <w:rPr>
          <w:b/>
          <w:color w:val="000000"/>
          <w:sz w:val="22"/>
          <w:szCs w:val="22"/>
          <w:lang w:val="lv-LV"/>
        </w:rPr>
      </w:pPr>
      <w:r w:rsidRPr="008D4AC7">
        <w:rPr>
          <w:b/>
          <w:color w:val="000000"/>
          <w:sz w:val="22"/>
          <w:szCs w:val="22"/>
          <w:lang w:val="lv-LV"/>
        </w:rPr>
        <w:t>signalizācijas sistēmas nomaiņai</w:t>
      </w:r>
    </w:p>
    <w:p w:rsidR="002D7612" w:rsidRPr="003956A5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3956A5">
        <w:rPr>
          <w:b/>
          <w:color w:val="000000"/>
          <w:sz w:val="22"/>
          <w:szCs w:val="22"/>
          <w:lang w:val="lv-LV" w:eastAsia="lv-LV"/>
        </w:rPr>
        <w:t>ID Nr. LTV/20</w:t>
      </w:r>
      <w:r w:rsidR="008D4AC7">
        <w:rPr>
          <w:b/>
          <w:color w:val="000000"/>
          <w:sz w:val="22"/>
          <w:szCs w:val="22"/>
          <w:lang w:val="lv-LV" w:eastAsia="lv-LV"/>
        </w:rPr>
        <w:t>17-52</w:t>
      </w:r>
    </w:p>
    <w:p w:rsidR="002D7612" w:rsidRPr="003956A5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rPr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>Rīgā,</w:t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proofErr w:type="gramStart"/>
      <w:r w:rsidRPr="003956A5">
        <w:rPr>
          <w:bCs/>
          <w:color w:val="000000"/>
          <w:sz w:val="22"/>
          <w:szCs w:val="22"/>
          <w:lang w:val="lv-LV"/>
        </w:rPr>
        <w:t xml:space="preserve">    </w:t>
      </w:r>
      <w:proofErr w:type="gramEnd"/>
      <w:r w:rsidR="008D4AC7">
        <w:rPr>
          <w:bCs/>
          <w:color w:val="000000"/>
          <w:sz w:val="22"/>
          <w:szCs w:val="22"/>
          <w:lang w:val="lv-LV"/>
        </w:rPr>
        <w:t>20</w:t>
      </w:r>
      <w:r w:rsidR="008D4AC7">
        <w:rPr>
          <w:color w:val="000000"/>
          <w:sz w:val="22"/>
          <w:szCs w:val="22"/>
          <w:lang w:val="lv-LV"/>
        </w:rPr>
        <w:t>.10</w:t>
      </w:r>
      <w:r w:rsidRPr="003956A5">
        <w:rPr>
          <w:color w:val="000000"/>
          <w:sz w:val="22"/>
          <w:szCs w:val="22"/>
          <w:lang w:val="lv-LV"/>
        </w:rPr>
        <w:t>.2017. Nr.</w:t>
      </w:r>
      <w:r w:rsidR="008D4AC7">
        <w:rPr>
          <w:color w:val="000000"/>
          <w:sz w:val="22"/>
          <w:szCs w:val="22"/>
          <w:lang w:val="lv-LV"/>
        </w:rPr>
        <w:t>41</w:t>
      </w:r>
      <w:r w:rsidRPr="003956A5">
        <w:rPr>
          <w:color w:val="000000"/>
          <w:sz w:val="22"/>
          <w:szCs w:val="22"/>
          <w:lang w:val="lv-LV"/>
        </w:rPr>
        <w:t>/1-19</w:t>
      </w:r>
      <w:r w:rsidRPr="003956A5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3956A5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8D4AC7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iepirkumā</w:t>
      </w:r>
      <w:r w:rsidRPr="003956A5">
        <w:rPr>
          <w:color w:val="000000"/>
          <w:sz w:val="22"/>
          <w:szCs w:val="22"/>
          <w:lang w:val="lv-LV" w:eastAsia="lv-LV"/>
        </w:rPr>
        <w:t xml:space="preserve"> </w:t>
      </w:r>
      <w:r w:rsidR="00D0342B">
        <w:rPr>
          <w:color w:val="000000"/>
          <w:sz w:val="22"/>
          <w:szCs w:val="22"/>
          <w:lang w:val="lv-LV"/>
        </w:rPr>
        <w:t>tika iesniegti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r w:rsidR="008D4AC7">
        <w:rPr>
          <w:color w:val="000000"/>
          <w:sz w:val="22"/>
          <w:szCs w:val="22"/>
          <w:lang w:val="lv-LV"/>
        </w:rPr>
        <w:t>sekojoši</w:t>
      </w:r>
      <w:r w:rsidR="00D0342B">
        <w:rPr>
          <w:color w:val="000000"/>
          <w:sz w:val="22"/>
          <w:szCs w:val="22"/>
          <w:lang w:val="lv-LV"/>
        </w:rPr>
        <w:t xml:space="preserve"> piedāvājumi:</w:t>
      </w:r>
      <w:r w:rsidRPr="003956A5">
        <w:rPr>
          <w:color w:val="000000"/>
          <w:sz w:val="22"/>
          <w:szCs w:val="22"/>
          <w:lang w:val="lv-LV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4953"/>
        <w:gridCol w:w="3286"/>
      </w:tblGrid>
      <w:tr w:rsidR="008D4AC7" w:rsidRPr="00D0342B" w:rsidTr="00E230DB">
        <w:trPr>
          <w:jc w:val="center"/>
        </w:trPr>
        <w:tc>
          <w:tcPr>
            <w:tcW w:w="759" w:type="dxa"/>
            <w:vAlign w:val="center"/>
          </w:tcPr>
          <w:p w:rsidR="008D4AC7" w:rsidRDefault="008D4AC7" w:rsidP="002D2368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0342B">
              <w:rPr>
                <w:b/>
                <w:color w:val="000000"/>
                <w:sz w:val="22"/>
                <w:szCs w:val="22"/>
                <w:lang w:val="lv-LV"/>
              </w:rPr>
              <w:t>Nr.</w:t>
            </w:r>
          </w:p>
          <w:p w:rsidR="008D4AC7" w:rsidRPr="00D0342B" w:rsidRDefault="008D4AC7" w:rsidP="002D2368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0342B">
              <w:rPr>
                <w:b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4953" w:type="dxa"/>
            <w:vAlign w:val="center"/>
          </w:tcPr>
          <w:p w:rsidR="008D4AC7" w:rsidRPr="00D0342B" w:rsidRDefault="008D4AC7" w:rsidP="002D2368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0342B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3286" w:type="dxa"/>
            <w:vAlign w:val="center"/>
          </w:tcPr>
          <w:p w:rsidR="008D4AC7" w:rsidRDefault="008D4AC7" w:rsidP="002D2368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Kopējā piedāvājuma summa</w:t>
            </w:r>
            <w:r w:rsidRPr="00D0342B">
              <w:rPr>
                <w:b/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8D4AC7" w:rsidRPr="00D0342B" w:rsidRDefault="008D4AC7" w:rsidP="002D2368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0342B">
              <w:rPr>
                <w:b/>
                <w:color w:val="000000"/>
                <w:sz w:val="22"/>
                <w:szCs w:val="22"/>
                <w:lang w:val="lv-LV"/>
              </w:rPr>
              <w:t>EUR bez PVN</w:t>
            </w:r>
          </w:p>
        </w:tc>
      </w:tr>
      <w:tr w:rsidR="008D4AC7" w:rsidTr="00E230DB">
        <w:trPr>
          <w:jc w:val="center"/>
        </w:trPr>
        <w:tc>
          <w:tcPr>
            <w:tcW w:w="759" w:type="dxa"/>
          </w:tcPr>
          <w:p w:rsidR="008D4AC7" w:rsidRDefault="008D4AC7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4953" w:type="dxa"/>
          </w:tcPr>
          <w:p w:rsidR="008D4AC7" w:rsidRDefault="008D4AC7" w:rsidP="002D2368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AS “STA Grupa</w:t>
            </w:r>
            <w:r>
              <w:rPr>
                <w:color w:val="000000"/>
                <w:sz w:val="22"/>
                <w:szCs w:val="22"/>
                <w:lang w:val="lv-LV"/>
              </w:rPr>
              <w:t>”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lv-LV"/>
              </w:rPr>
              <w:t>reģ. Nr. 40003019103)</w:t>
            </w:r>
          </w:p>
        </w:tc>
        <w:tc>
          <w:tcPr>
            <w:tcW w:w="3286" w:type="dxa"/>
          </w:tcPr>
          <w:p w:rsidR="008D4AC7" w:rsidRDefault="008D4AC7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11 800,00</w:t>
            </w:r>
          </w:p>
        </w:tc>
      </w:tr>
      <w:tr w:rsidR="008D4AC7" w:rsidTr="00E230DB">
        <w:trPr>
          <w:jc w:val="center"/>
        </w:trPr>
        <w:tc>
          <w:tcPr>
            <w:tcW w:w="759" w:type="dxa"/>
          </w:tcPr>
          <w:p w:rsidR="008D4AC7" w:rsidRDefault="008D4AC7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4953" w:type="dxa"/>
          </w:tcPr>
          <w:p w:rsidR="008D4AC7" w:rsidRDefault="008D4AC7" w:rsidP="008D4AC7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GP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Systems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”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lv-LV"/>
              </w:rPr>
              <w:t>reģ. Nr. 40003760328)</w:t>
            </w:r>
          </w:p>
        </w:tc>
        <w:tc>
          <w:tcPr>
            <w:tcW w:w="3286" w:type="dxa"/>
          </w:tcPr>
          <w:p w:rsidR="008D4AC7" w:rsidRDefault="008D4AC7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11 000,00</w:t>
            </w:r>
          </w:p>
        </w:tc>
      </w:tr>
      <w:tr w:rsidR="008D4AC7" w:rsidTr="00E230DB">
        <w:trPr>
          <w:jc w:val="center"/>
        </w:trPr>
        <w:tc>
          <w:tcPr>
            <w:tcW w:w="759" w:type="dxa"/>
          </w:tcPr>
          <w:p w:rsidR="008D4AC7" w:rsidRDefault="008D4AC7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4953" w:type="dxa"/>
          </w:tcPr>
          <w:p w:rsidR="008D4AC7" w:rsidRDefault="008D4AC7" w:rsidP="008D4AC7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IxCom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”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lv-LV"/>
              </w:rPr>
              <w:t>reģ. Nr. 40003742657)</w:t>
            </w:r>
          </w:p>
        </w:tc>
        <w:tc>
          <w:tcPr>
            <w:tcW w:w="3286" w:type="dxa"/>
          </w:tcPr>
          <w:p w:rsidR="008D4AC7" w:rsidRDefault="008D4AC7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4 700,00</w:t>
            </w:r>
          </w:p>
        </w:tc>
      </w:tr>
      <w:tr w:rsidR="008D4AC7" w:rsidTr="00E230DB">
        <w:trPr>
          <w:jc w:val="center"/>
        </w:trPr>
        <w:tc>
          <w:tcPr>
            <w:tcW w:w="759" w:type="dxa"/>
          </w:tcPr>
          <w:p w:rsidR="008D4AC7" w:rsidRDefault="008D4AC7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</w:t>
            </w:r>
          </w:p>
        </w:tc>
        <w:tc>
          <w:tcPr>
            <w:tcW w:w="4953" w:type="dxa"/>
          </w:tcPr>
          <w:p w:rsidR="008D4AC7" w:rsidRDefault="008D4AC7" w:rsidP="002D2368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“NCS LV</w:t>
            </w:r>
            <w:r>
              <w:rPr>
                <w:color w:val="000000"/>
                <w:sz w:val="22"/>
                <w:szCs w:val="22"/>
                <w:lang w:val="lv-LV"/>
              </w:rPr>
              <w:t>”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lv-LV"/>
              </w:rPr>
              <w:t>reģ. Nr. 40103551993)</w:t>
            </w:r>
          </w:p>
        </w:tc>
        <w:tc>
          <w:tcPr>
            <w:tcW w:w="3286" w:type="dxa"/>
          </w:tcPr>
          <w:p w:rsidR="008D4AC7" w:rsidRDefault="008D4AC7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12 665,76</w:t>
            </w:r>
          </w:p>
        </w:tc>
      </w:tr>
      <w:tr w:rsidR="008D4AC7" w:rsidTr="00E230DB">
        <w:trPr>
          <w:jc w:val="center"/>
        </w:trPr>
        <w:tc>
          <w:tcPr>
            <w:tcW w:w="759" w:type="dxa"/>
          </w:tcPr>
          <w:p w:rsidR="008D4AC7" w:rsidRDefault="008D4AC7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5.</w:t>
            </w:r>
          </w:p>
        </w:tc>
        <w:tc>
          <w:tcPr>
            <w:tcW w:w="4953" w:type="dxa"/>
          </w:tcPr>
          <w:p w:rsidR="008D4AC7" w:rsidRDefault="008D4AC7" w:rsidP="002D2368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AS “G4S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Latvia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” 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lv-LV"/>
              </w:rPr>
              <w:t>reģ. Nr. 40103058465)</w:t>
            </w:r>
          </w:p>
        </w:tc>
        <w:tc>
          <w:tcPr>
            <w:tcW w:w="3286" w:type="dxa"/>
          </w:tcPr>
          <w:p w:rsidR="008D4AC7" w:rsidRDefault="008D4AC7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7 125,00</w:t>
            </w:r>
          </w:p>
        </w:tc>
      </w:tr>
      <w:tr w:rsidR="008D4AC7" w:rsidTr="00E230DB">
        <w:trPr>
          <w:jc w:val="center"/>
        </w:trPr>
        <w:tc>
          <w:tcPr>
            <w:tcW w:w="759" w:type="dxa"/>
          </w:tcPr>
          <w:p w:rsidR="008D4AC7" w:rsidRDefault="008D4AC7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6.</w:t>
            </w:r>
          </w:p>
        </w:tc>
        <w:tc>
          <w:tcPr>
            <w:tcW w:w="4953" w:type="dxa"/>
          </w:tcPr>
          <w:p w:rsidR="008D4AC7" w:rsidRDefault="008D4AC7" w:rsidP="002D2368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Sprinkler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Service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” 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lv-LV"/>
              </w:rPr>
              <w:t>reģ. Nr. 40003013346)</w:t>
            </w:r>
          </w:p>
        </w:tc>
        <w:tc>
          <w:tcPr>
            <w:tcW w:w="3286" w:type="dxa"/>
          </w:tcPr>
          <w:p w:rsidR="008D4AC7" w:rsidRDefault="00F40E62" w:rsidP="002D236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9 400,00</w:t>
            </w:r>
          </w:p>
        </w:tc>
      </w:tr>
    </w:tbl>
    <w:p w:rsidR="002D7612" w:rsidRPr="003956A5" w:rsidRDefault="00D0342B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visu pretendentu</w:t>
      </w:r>
      <w:r w:rsidR="002D7612" w:rsidRPr="003956A5">
        <w:rPr>
          <w:color w:val="000000"/>
          <w:sz w:val="22"/>
          <w:szCs w:val="22"/>
          <w:lang w:val="lv-LV"/>
        </w:rPr>
        <w:t xml:space="preserve"> kvalifikācija atbilst iepirkuma nolikuma A sadaļā “Instrukcija pretendentiem” noteiktajām pretendentu kvalifikācijas prasībām;</w:t>
      </w:r>
    </w:p>
    <w:p w:rsidR="00F40E62" w:rsidRDefault="00F40E6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F40E62">
        <w:rPr>
          <w:color w:val="000000"/>
          <w:sz w:val="22"/>
          <w:szCs w:val="22"/>
          <w:lang w:val="lv-LV"/>
        </w:rPr>
        <w:t xml:space="preserve">SIA “GP </w:t>
      </w:r>
      <w:proofErr w:type="spellStart"/>
      <w:r w:rsidRPr="00F40E62">
        <w:rPr>
          <w:color w:val="000000"/>
          <w:sz w:val="22"/>
          <w:szCs w:val="22"/>
          <w:lang w:val="lv-LV"/>
        </w:rPr>
        <w:t>Systems</w:t>
      </w:r>
      <w:proofErr w:type="spellEnd"/>
      <w:r w:rsidRPr="00F40E62">
        <w:rPr>
          <w:color w:val="000000"/>
          <w:sz w:val="22"/>
          <w:szCs w:val="22"/>
          <w:lang w:val="lv-LV"/>
        </w:rPr>
        <w:t>” savam piedāvājumam nav pievienojis saskaņā a</w:t>
      </w:r>
      <w:r>
        <w:rPr>
          <w:color w:val="000000"/>
          <w:sz w:val="22"/>
          <w:szCs w:val="22"/>
          <w:lang w:val="lv-LV"/>
        </w:rPr>
        <w:t>r iepirkuma nolikuma 2.pielikumu C sadaļu</w:t>
      </w:r>
      <w:r w:rsidRPr="00F40E62">
        <w:rPr>
          <w:color w:val="000000"/>
          <w:sz w:val="22"/>
          <w:szCs w:val="22"/>
          <w:lang w:val="lv-LV"/>
        </w:rPr>
        <w:t> “Tehn</w:t>
      </w:r>
      <w:r>
        <w:rPr>
          <w:color w:val="000000"/>
          <w:sz w:val="22"/>
          <w:szCs w:val="22"/>
          <w:lang w:val="lv-LV"/>
        </w:rPr>
        <w:t xml:space="preserve">iskā specifikācija” sagatavotu tehnisko piedāvājumu, atbilstoši iepirkuma nolikuma 6.3.3. punktā noteiktajam. Saskaņā ar iepirkuma nolikuma 7.6. punktā noteikto, iepirkumu komisija pieņem lēmumu izslēgt SIA “GP </w:t>
      </w:r>
      <w:proofErr w:type="spellStart"/>
      <w:r>
        <w:rPr>
          <w:color w:val="000000"/>
          <w:sz w:val="22"/>
          <w:szCs w:val="22"/>
          <w:lang w:val="lv-LV"/>
        </w:rPr>
        <w:t>Systems</w:t>
      </w:r>
      <w:proofErr w:type="spellEnd"/>
      <w:r>
        <w:rPr>
          <w:color w:val="000000"/>
          <w:sz w:val="22"/>
          <w:szCs w:val="22"/>
          <w:lang w:val="lv-LV"/>
        </w:rPr>
        <w:t xml:space="preserve">” piedāvājumu no turpmākas dalības iepirkumā; </w:t>
      </w:r>
    </w:p>
    <w:p w:rsidR="002D7612" w:rsidRPr="00F40E62" w:rsidRDefault="00D0342B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F40E62">
        <w:rPr>
          <w:color w:val="000000"/>
          <w:sz w:val="22"/>
          <w:szCs w:val="22"/>
          <w:lang w:val="lv-LV"/>
        </w:rPr>
        <w:t xml:space="preserve">visu </w:t>
      </w:r>
      <w:r w:rsidR="00F40E62">
        <w:rPr>
          <w:color w:val="000000"/>
          <w:sz w:val="22"/>
          <w:szCs w:val="22"/>
          <w:lang w:val="lv-LV"/>
        </w:rPr>
        <w:t xml:space="preserve">pārējo </w:t>
      </w:r>
      <w:r w:rsidRPr="00F40E62">
        <w:rPr>
          <w:color w:val="000000"/>
          <w:sz w:val="22"/>
          <w:szCs w:val="22"/>
          <w:lang w:val="lv-LV"/>
        </w:rPr>
        <w:t>pretendentu tehniskie piedāvājumi</w:t>
      </w:r>
      <w:r w:rsidR="002D7612" w:rsidRPr="00F40E62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 SIA “</w:t>
      </w:r>
      <w:proofErr w:type="spellStart"/>
      <w:r w:rsidR="00E230DB">
        <w:rPr>
          <w:color w:val="000000"/>
          <w:sz w:val="22"/>
          <w:szCs w:val="22"/>
          <w:lang w:val="lv-LV"/>
        </w:rPr>
        <w:t>IxCom</w:t>
      </w:r>
      <w:proofErr w:type="spellEnd"/>
      <w:r w:rsidRPr="003956A5">
        <w:rPr>
          <w:color w:val="000000"/>
          <w:sz w:val="22"/>
          <w:szCs w:val="22"/>
          <w:lang w:val="lv-LV"/>
        </w:rPr>
        <w:t xml:space="preserve">” </w:t>
      </w:r>
      <w:r w:rsidR="006D49C3" w:rsidRPr="003956A5">
        <w:rPr>
          <w:color w:val="000000"/>
          <w:sz w:val="22"/>
          <w:szCs w:val="22"/>
          <w:lang w:val="lv-LV"/>
        </w:rPr>
        <w:t xml:space="preserve">piedāvājums atbilst visām iepirkuma nolikuma prasībām un ir atzīstams par piedāvājumu ar zemāko </w:t>
      </w:r>
      <w:r w:rsidR="00A56375">
        <w:rPr>
          <w:color w:val="000000"/>
          <w:sz w:val="22"/>
          <w:szCs w:val="22"/>
          <w:lang w:val="lv-LV"/>
        </w:rPr>
        <w:t>cenu</w:t>
      </w:r>
      <w:r w:rsidR="006D49C3" w:rsidRPr="003956A5">
        <w:rPr>
          <w:color w:val="000000"/>
          <w:sz w:val="22"/>
          <w:szCs w:val="22"/>
          <w:lang w:val="lv-LV"/>
        </w:rPr>
        <w:t>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</w:t>
      </w:r>
      <w:r w:rsidR="00D0342B">
        <w:rPr>
          <w:color w:val="000000"/>
          <w:sz w:val="22"/>
          <w:szCs w:val="22"/>
          <w:lang w:val="lv-LV"/>
        </w:rPr>
        <w:t>s</w:t>
      </w:r>
      <w:r w:rsidR="008D7494" w:rsidRPr="003956A5">
        <w:rPr>
          <w:color w:val="000000"/>
          <w:sz w:val="22"/>
          <w:szCs w:val="22"/>
          <w:lang w:val="lv-LV"/>
        </w:rPr>
        <w:t xml:space="preserve"> E-izziņa</w:t>
      </w:r>
      <w:r w:rsidR="00D0342B">
        <w:rPr>
          <w:color w:val="000000"/>
          <w:sz w:val="22"/>
          <w:szCs w:val="22"/>
          <w:lang w:val="lv-LV"/>
        </w:rPr>
        <w:t>s</w:t>
      </w:r>
      <w:r w:rsidRPr="003956A5">
        <w:rPr>
          <w:color w:val="000000"/>
          <w:sz w:val="22"/>
          <w:szCs w:val="22"/>
          <w:lang w:val="lv-LV"/>
        </w:rPr>
        <w:t xml:space="preserve"> apliecina, ka </w:t>
      </w:r>
      <w:r w:rsidR="00D0342B">
        <w:rPr>
          <w:color w:val="000000"/>
          <w:sz w:val="22"/>
          <w:szCs w:val="22"/>
          <w:lang w:val="lv-LV"/>
        </w:rPr>
        <w:t xml:space="preserve">nevienam </w:t>
      </w:r>
      <w:r w:rsidRPr="003956A5">
        <w:rPr>
          <w:color w:val="000000"/>
          <w:sz w:val="22"/>
          <w:szCs w:val="22"/>
          <w:lang w:val="lv-LV"/>
        </w:rPr>
        <w:t>pretendentam piedāvājumu iesni</w:t>
      </w:r>
      <w:r w:rsidR="00E230DB">
        <w:rPr>
          <w:color w:val="000000"/>
          <w:sz w:val="22"/>
          <w:szCs w:val="22"/>
          <w:lang w:val="lv-LV"/>
        </w:rPr>
        <w:t>egšanas termiņa pēdējā dienā (16.10</w:t>
      </w:r>
      <w:r w:rsidRPr="003956A5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</w:t>
      </w:r>
      <w:r w:rsidR="00D0342B">
        <w:rPr>
          <w:color w:val="000000"/>
          <w:sz w:val="22"/>
          <w:szCs w:val="22"/>
          <w:lang w:val="lv-LV"/>
        </w:rPr>
        <w:t>s</w:t>
      </w:r>
      <w:r w:rsidR="008D7494" w:rsidRPr="003956A5">
        <w:rPr>
          <w:color w:val="000000"/>
          <w:sz w:val="22"/>
          <w:szCs w:val="22"/>
          <w:lang w:val="lv-LV"/>
        </w:rPr>
        <w:t xml:space="preserve"> E-izziņa</w:t>
      </w:r>
      <w:r w:rsidR="00D0342B">
        <w:rPr>
          <w:color w:val="000000"/>
          <w:sz w:val="22"/>
          <w:szCs w:val="22"/>
          <w:lang w:val="lv-LV"/>
        </w:rPr>
        <w:t>s</w:t>
      </w:r>
      <w:r w:rsidRPr="003956A5">
        <w:rPr>
          <w:color w:val="000000"/>
          <w:sz w:val="22"/>
          <w:szCs w:val="22"/>
          <w:lang w:val="lv-LV"/>
        </w:rPr>
        <w:t xml:space="preserve"> apliecina, ka </w:t>
      </w:r>
      <w:r w:rsidR="00D0342B">
        <w:rPr>
          <w:color w:val="000000"/>
          <w:sz w:val="22"/>
          <w:szCs w:val="22"/>
          <w:lang w:val="lv-LV"/>
        </w:rPr>
        <w:t xml:space="preserve">nevienam </w:t>
      </w:r>
      <w:r w:rsidRPr="003956A5">
        <w:rPr>
          <w:color w:val="000000"/>
          <w:sz w:val="22"/>
          <w:szCs w:val="22"/>
          <w:lang w:val="lv-LV"/>
        </w:rPr>
        <w:t xml:space="preserve">pretendentam </w:t>
      </w:r>
      <w:r w:rsidRPr="003956A5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r w:rsidR="00E230DB">
        <w:rPr>
          <w:color w:val="000000"/>
          <w:sz w:val="22"/>
          <w:szCs w:val="22"/>
          <w:lang w:val="lv-LV"/>
        </w:rPr>
        <w:t>(20</w:t>
      </w:r>
      <w:r w:rsidRPr="003956A5">
        <w:rPr>
          <w:color w:val="000000"/>
          <w:sz w:val="22"/>
          <w:szCs w:val="22"/>
          <w:lang w:val="lv-LV"/>
        </w:rPr>
        <w:t>.</w:t>
      </w:r>
      <w:r w:rsidR="00E230DB">
        <w:rPr>
          <w:color w:val="000000"/>
          <w:sz w:val="22"/>
          <w:szCs w:val="22"/>
          <w:lang w:val="lv-LV"/>
        </w:rPr>
        <w:t>10</w:t>
      </w:r>
      <w:r w:rsidRPr="003956A5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</w:t>
      </w:r>
      <w:r w:rsidR="00D0342B">
        <w:rPr>
          <w:color w:val="000000"/>
          <w:sz w:val="22"/>
          <w:szCs w:val="22"/>
          <w:lang w:val="lv-LV"/>
        </w:rPr>
        <w:t>s</w:t>
      </w:r>
      <w:r w:rsidR="008D7494" w:rsidRPr="003956A5">
        <w:rPr>
          <w:color w:val="000000"/>
          <w:sz w:val="22"/>
          <w:szCs w:val="22"/>
          <w:lang w:val="lv-LV"/>
        </w:rPr>
        <w:t xml:space="preserve"> E-izziņa</w:t>
      </w:r>
      <w:r w:rsidR="00D0342B">
        <w:rPr>
          <w:color w:val="000000"/>
          <w:sz w:val="22"/>
          <w:szCs w:val="22"/>
          <w:lang w:val="lv-LV"/>
        </w:rPr>
        <w:t>s</w:t>
      </w:r>
      <w:r w:rsidRPr="003956A5">
        <w:rPr>
          <w:color w:val="000000"/>
          <w:sz w:val="22"/>
          <w:szCs w:val="22"/>
          <w:lang w:val="lv-LV"/>
        </w:rPr>
        <w:t xml:space="preserve"> apliecina, ka </w:t>
      </w:r>
      <w:r w:rsidR="00D0342B">
        <w:rPr>
          <w:color w:val="000000"/>
          <w:sz w:val="22"/>
          <w:szCs w:val="22"/>
          <w:lang w:val="lv-LV"/>
        </w:rPr>
        <w:t xml:space="preserve">nevienam </w:t>
      </w:r>
      <w:r w:rsidRPr="003956A5">
        <w:rPr>
          <w:color w:val="000000"/>
          <w:sz w:val="22"/>
          <w:szCs w:val="22"/>
          <w:lang w:val="lv-LV"/>
        </w:rPr>
        <w:t>pretendentam nav pasludināts maksātnespējas (t.sk. bankr</w:t>
      </w:r>
      <w:r w:rsidR="00D0342B">
        <w:rPr>
          <w:color w:val="000000"/>
          <w:sz w:val="22"/>
          <w:szCs w:val="22"/>
          <w:lang w:val="lv-LV"/>
        </w:rPr>
        <w:t>ota) process, tie</w:t>
      </w:r>
      <w:r w:rsidRPr="003956A5">
        <w:rPr>
          <w:color w:val="000000"/>
          <w:sz w:val="22"/>
          <w:szCs w:val="22"/>
          <w:lang w:val="lv-LV"/>
        </w:rPr>
        <w:t xml:space="preserve"> neatr</w:t>
      </w:r>
      <w:r w:rsidR="00D0342B">
        <w:rPr>
          <w:color w:val="000000"/>
          <w:sz w:val="22"/>
          <w:szCs w:val="22"/>
          <w:lang w:val="lv-LV"/>
        </w:rPr>
        <w:t>odas likvidācijas stadijā un to</w:t>
      </w:r>
      <w:r w:rsidRPr="003956A5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lēmums: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 xml:space="preserve">panta kārtībā organizētā iepirkuma </w:t>
      </w:r>
      <w:r w:rsidRPr="00E230DB">
        <w:rPr>
          <w:color w:val="000000"/>
          <w:sz w:val="22"/>
          <w:szCs w:val="22"/>
          <w:lang w:val="lv-LV"/>
        </w:rPr>
        <w:t>“</w:t>
      </w:r>
      <w:r w:rsidR="00E230DB" w:rsidRPr="00E230DB">
        <w:rPr>
          <w:color w:val="000000"/>
          <w:sz w:val="22"/>
          <w:szCs w:val="22"/>
          <w:lang w:val="lv-LV"/>
        </w:rPr>
        <w:t>Par projekta izstrādi LTV ēkas automātiskās ugunsgrēka atklāšanas un trauksmes signalizācijas sistēmas nomaiņai</w:t>
      </w:r>
      <w:r w:rsidRPr="00E230DB">
        <w:rPr>
          <w:color w:val="000000"/>
          <w:sz w:val="22"/>
          <w:szCs w:val="22"/>
          <w:lang w:val="lv-LV"/>
        </w:rPr>
        <w:t>”</w:t>
      </w:r>
      <w:r w:rsidRPr="003956A5">
        <w:rPr>
          <w:color w:val="000000"/>
          <w:sz w:val="22"/>
          <w:szCs w:val="22"/>
          <w:lang w:val="lv-LV" w:eastAsia="lv-LV"/>
        </w:rPr>
        <w:t xml:space="preserve"> (LTV</w:t>
      </w:r>
      <w:r w:rsidR="00E230DB">
        <w:rPr>
          <w:color w:val="000000"/>
          <w:sz w:val="22"/>
          <w:szCs w:val="22"/>
          <w:lang w:val="lv-LV" w:eastAsia="lv-LV"/>
        </w:rPr>
        <w:t>/2017-52</w:t>
      </w:r>
      <w:r w:rsidRPr="003956A5">
        <w:rPr>
          <w:color w:val="000000"/>
          <w:sz w:val="22"/>
          <w:szCs w:val="22"/>
          <w:lang w:val="lv-LV" w:eastAsia="lv-LV"/>
        </w:rPr>
        <w:t xml:space="preserve">) </w:t>
      </w:r>
      <w:r w:rsidRPr="003956A5">
        <w:rPr>
          <w:color w:val="000000"/>
          <w:sz w:val="22"/>
          <w:szCs w:val="22"/>
          <w:lang w:val="lv-LV"/>
        </w:rPr>
        <w:t>nolikuma 7.1</w:t>
      </w:r>
      <w:r w:rsidR="001916AF" w:rsidRPr="003956A5">
        <w:rPr>
          <w:color w:val="000000"/>
          <w:sz w:val="22"/>
          <w:szCs w:val="22"/>
          <w:lang w:val="lv-LV"/>
        </w:rPr>
        <w:t>3</w:t>
      </w:r>
      <w:r w:rsidRPr="003956A5">
        <w:rPr>
          <w:color w:val="000000"/>
          <w:sz w:val="22"/>
          <w:szCs w:val="22"/>
          <w:lang w:val="lv-LV"/>
        </w:rPr>
        <w:t>.</w:t>
      </w:r>
      <w:r w:rsidR="00DB4EF6"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3956A5">
        <w:rPr>
          <w:b/>
          <w:color w:val="000000"/>
          <w:sz w:val="22"/>
          <w:szCs w:val="22"/>
          <w:lang w:val="lv-LV"/>
        </w:rPr>
        <w:t>SIA</w:t>
      </w:r>
      <w:r w:rsidRPr="003956A5">
        <w:rPr>
          <w:b/>
          <w:color w:val="000000"/>
          <w:sz w:val="22"/>
          <w:szCs w:val="22"/>
          <w:lang w:val="lv-LV"/>
        </w:rPr>
        <w:t xml:space="preserve"> “</w:t>
      </w:r>
      <w:proofErr w:type="spellStart"/>
      <w:r w:rsidR="00E230DB">
        <w:rPr>
          <w:b/>
          <w:color w:val="000000"/>
          <w:sz w:val="22"/>
          <w:szCs w:val="22"/>
          <w:lang w:val="lv-LV"/>
        </w:rPr>
        <w:t>IxCom</w:t>
      </w:r>
      <w:proofErr w:type="spellEnd"/>
      <w:r w:rsidRPr="003956A5">
        <w:rPr>
          <w:b/>
          <w:color w:val="000000"/>
          <w:sz w:val="22"/>
          <w:szCs w:val="22"/>
          <w:lang w:val="lv-LV"/>
        </w:rPr>
        <w:t>”</w:t>
      </w:r>
      <w:r w:rsidRPr="003956A5">
        <w:rPr>
          <w:color w:val="000000"/>
          <w:sz w:val="22"/>
          <w:szCs w:val="22"/>
          <w:lang w:val="lv-LV"/>
        </w:rPr>
        <w:t xml:space="preserve"> (vienotais reģistrācijas Nr.</w:t>
      </w:r>
      <w:r w:rsidR="00A56375" w:rsidRPr="00A56375">
        <w:rPr>
          <w:color w:val="000000"/>
          <w:sz w:val="22"/>
          <w:szCs w:val="22"/>
          <w:lang w:val="lv-LV"/>
        </w:rPr>
        <w:t xml:space="preserve"> </w:t>
      </w:r>
      <w:r w:rsidR="00E230DB" w:rsidRPr="00E230DB">
        <w:rPr>
          <w:color w:val="000000"/>
          <w:sz w:val="22"/>
          <w:szCs w:val="22"/>
          <w:lang w:val="lv-LV"/>
        </w:rPr>
        <w:t>40003742657</w:t>
      </w:r>
      <w:r w:rsidRPr="003956A5">
        <w:rPr>
          <w:color w:val="000000"/>
          <w:sz w:val="22"/>
          <w:szCs w:val="22"/>
          <w:lang w:val="lv-LV"/>
        </w:rPr>
        <w:t>),</w:t>
      </w:r>
      <w:r w:rsidRPr="003956A5">
        <w:rPr>
          <w:bCs/>
          <w:color w:val="000000"/>
          <w:sz w:val="22"/>
          <w:szCs w:val="22"/>
          <w:lang w:val="lv-LV"/>
        </w:rPr>
        <w:t xml:space="preserve"> jo tā </w:t>
      </w:r>
      <w:r w:rsidRPr="003956A5">
        <w:rPr>
          <w:color w:val="000000"/>
          <w:sz w:val="22"/>
          <w:szCs w:val="22"/>
          <w:lang w:val="lv-LV"/>
        </w:rPr>
        <w:t xml:space="preserve">piedāvājums atbilst iepirkuma nolikuma t.sk. tehniskās specifikācijas prasībām un ir ar viszemāko </w:t>
      </w:r>
      <w:r w:rsidR="00E230DB">
        <w:rPr>
          <w:color w:val="000000"/>
          <w:sz w:val="22"/>
          <w:szCs w:val="22"/>
          <w:lang w:val="lv-LV"/>
        </w:rPr>
        <w:t>kopējo</w:t>
      </w:r>
      <w:r w:rsidR="00B2751B" w:rsidRPr="00B2751B">
        <w:rPr>
          <w:color w:val="000000"/>
          <w:sz w:val="22"/>
          <w:szCs w:val="22"/>
          <w:lang w:val="lv-LV"/>
        </w:rPr>
        <w:t xml:space="preserve"> cenu</w:t>
      </w:r>
      <w:r w:rsidRPr="003956A5">
        <w:rPr>
          <w:color w:val="000000"/>
          <w:sz w:val="22"/>
          <w:szCs w:val="22"/>
          <w:lang w:val="lv-LV"/>
        </w:rPr>
        <w:t>.</w:t>
      </w:r>
      <w:r w:rsidRPr="003956A5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3956A5">
        <w:rPr>
          <w:color w:val="000000"/>
          <w:sz w:val="22"/>
          <w:szCs w:val="22"/>
          <w:lang w:val="lv-LV"/>
        </w:rPr>
        <w:t xml:space="preserve">bez PVN) ir </w:t>
      </w:r>
      <w:r w:rsidR="00E230DB" w:rsidRPr="00E230DB">
        <w:rPr>
          <w:b/>
          <w:color w:val="000000"/>
          <w:sz w:val="22"/>
          <w:szCs w:val="22"/>
          <w:lang w:val="lv-LV"/>
        </w:rPr>
        <w:t>4 700,00</w:t>
      </w:r>
      <w:r w:rsidR="00A56375" w:rsidRPr="00A56375">
        <w:rPr>
          <w:b/>
          <w:color w:val="000000"/>
          <w:sz w:val="22"/>
          <w:szCs w:val="22"/>
          <w:lang w:val="lv-LV"/>
        </w:rPr>
        <w:t xml:space="preserve"> </w:t>
      </w:r>
      <w:r w:rsidR="00A56375">
        <w:rPr>
          <w:b/>
          <w:color w:val="000000"/>
          <w:sz w:val="22"/>
          <w:szCs w:val="22"/>
          <w:lang w:val="lv-LV"/>
        </w:rPr>
        <w:t xml:space="preserve">EUR </w:t>
      </w:r>
      <w:r w:rsidRPr="003956A5">
        <w:rPr>
          <w:color w:val="000000"/>
          <w:sz w:val="22"/>
          <w:szCs w:val="22"/>
          <w:lang w:val="lv-LV"/>
        </w:rPr>
        <w:t>(</w:t>
      </w:r>
      <w:r w:rsidR="00E230DB">
        <w:rPr>
          <w:color w:val="000000"/>
          <w:sz w:val="22"/>
          <w:szCs w:val="22"/>
          <w:lang w:val="lv-LV"/>
        </w:rPr>
        <w:t>četri tūkstoši septiņi simti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i/>
          <w:color w:val="000000"/>
          <w:sz w:val="22"/>
          <w:szCs w:val="22"/>
          <w:lang w:val="lv-LV"/>
        </w:rPr>
        <w:t>euro</w:t>
      </w:r>
      <w:r w:rsidRPr="003956A5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Ivars Priede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Ivars Belte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lastRenderedPageBreak/>
        <w:t>Iepirkumu komisijas priekšsēdētāja vietnieks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Sergejs Ņesterovs</w:t>
      </w: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loceklis</w:t>
      </w:r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3956A5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4C6283" w:rsidRPr="003956A5" w:rsidRDefault="004C6283">
      <w:pPr>
        <w:rPr>
          <w:lang w:val="lv-LV"/>
        </w:rPr>
      </w:pPr>
      <w:bookmarkStart w:id="0" w:name="_GoBack"/>
      <w:bookmarkEnd w:id="0"/>
    </w:p>
    <w:sectPr w:rsidR="004C6283" w:rsidRPr="003956A5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B71F6"/>
    <w:rsid w:val="002C0600"/>
    <w:rsid w:val="002D7612"/>
    <w:rsid w:val="00301BC4"/>
    <w:rsid w:val="003956A5"/>
    <w:rsid w:val="004C6283"/>
    <w:rsid w:val="004C7A07"/>
    <w:rsid w:val="006D49C3"/>
    <w:rsid w:val="00774E31"/>
    <w:rsid w:val="008533C0"/>
    <w:rsid w:val="008D4AC7"/>
    <w:rsid w:val="008D7494"/>
    <w:rsid w:val="00A56375"/>
    <w:rsid w:val="00A77578"/>
    <w:rsid w:val="00B2751B"/>
    <w:rsid w:val="00D0342B"/>
    <w:rsid w:val="00D0593C"/>
    <w:rsid w:val="00DB4EF6"/>
    <w:rsid w:val="00E12598"/>
    <w:rsid w:val="00E230DB"/>
    <w:rsid w:val="00E60D38"/>
    <w:rsid w:val="00EE4D1A"/>
    <w:rsid w:val="00F4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0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3</cp:revision>
  <cp:lastPrinted>2017-06-28T06:55:00Z</cp:lastPrinted>
  <dcterms:created xsi:type="dcterms:W3CDTF">2017-10-23T10:34:00Z</dcterms:created>
  <dcterms:modified xsi:type="dcterms:W3CDTF">2017-10-23T11:26:00Z</dcterms:modified>
</cp:coreProperties>
</file>