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79" w:rsidRPr="0012084F" w:rsidRDefault="00F26679" w:rsidP="00F26679">
      <w:pPr>
        <w:jc w:val="center"/>
        <w:rPr>
          <w:b/>
          <w:color w:val="000000"/>
          <w:sz w:val="22"/>
          <w:szCs w:val="22"/>
          <w:lang w:val="lv-LV"/>
        </w:rPr>
      </w:pPr>
      <w:r w:rsidRPr="0012084F">
        <w:rPr>
          <w:b/>
          <w:color w:val="000000"/>
          <w:sz w:val="22"/>
          <w:szCs w:val="22"/>
          <w:lang w:val="lv-LV"/>
        </w:rPr>
        <w:t>VSIA “Latvijas Televīzija”</w:t>
      </w:r>
    </w:p>
    <w:p w:rsidR="00F26679" w:rsidRPr="0012084F" w:rsidRDefault="00F26679" w:rsidP="00F26679">
      <w:pPr>
        <w:jc w:val="center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Vienotais reģistrācijas Nr. 40003080597</w:t>
      </w:r>
    </w:p>
    <w:p w:rsidR="00F26679" w:rsidRPr="0012084F" w:rsidRDefault="00F26679" w:rsidP="00F26679">
      <w:pPr>
        <w:jc w:val="center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IEPIRKUMU KOMISIJAS</w:t>
      </w:r>
    </w:p>
    <w:p w:rsidR="00F26679" w:rsidRPr="0012084F" w:rsidRDefault="00F26679" w:rsidP="00F26679">
      <w:pPr>
        <w:jc w:val="center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LĒMUMS </w:t>
      </w:r>
    </w:p>
    <w:p w:rsidR="00F26679" w:rsidRPr="0012084F" w:rsidRDefault="00F26679" w:rsidP="00F26679">
      <w:pPr>
        <w:jc w:val="center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Publisko iepirkumu likuma </w:t>
      </w:r>
      <w:r w:rsidR="009B4B48">
        <w:rPr>
          <w:bCs/>
          <w:color w:val="000000"/>
          <w:sz w:val="22"/>
          <w:szCs w:val="22"/>
          <w:lang w:val="lv-LV"/>
        </w:rPr>
        <w:t>9.</w:t>
      </w:r>
      <w:r w:rsidRPr="0012084F">
        <w:rPr>
          <w:bCs/>
          <w:color w:val="000000"/>
          <w:sz w:val="22"/>
          <w:szCs w:val="22"/>
          <w:vertAlign w:val="superscript"/>
          <w:lang w:val="lv-LV"/>
        </w:rPr>
        <w:t xml:space="preserve"> </w:t>
      </w:r>
      <w:r w:rsidRPr="0012084F">
        <w:rPr>
          <w:bCs/>
          <w:color w:val="000000"/>
          <w:sz w:val="22"/>
          <w:szCs w:val="22"/>
          <w:lang w:val="lv-LV"/>
        </w:rPr>
        <w:t>panta kārtībā organizētā iepirkuma</w:t>
      </w:r>
    </w:p>
    <w:p w:rsidR="00F26679" w:rsidRPr="0012084F" w:rsidRDefault="00F26679" w:rsidP="00F26679">
      <w:pPr>
        <w:jc w:val="center"/>
        <w:rPr>
          <w:b/>
          <w:color w:val="000000"/>
          <w:sz w:val="22"/>
          <w:szCs w:val="22"/>
          <w:lang w:val="lv-LV"/>
        </w:rPr>
      </w:pPr>
      <w:r w:rsidRPr="0012084F">
        <w:rPr>
          <w:b/>
          <w:color w:val="000000"/>
          <w:sz w:val="22"/>
          <w:szCs w:val="22"/>
          <w:lang w:val="lv-LV"/>
        </w:rPr>
        <w:t xml:space="preserve">Par </w:t>
      </w:r>
      <w:r w:rsidR="009B4B48">
        <w:rPr>
          <w:b/>
          <w:color w:val="000000"/>
          <w:sz w:val="22"/>
          <w:szCs w:val="22"/>
          <w:lang w:val="lv-LV"/>
        </w:rPr>
        <w:t>tulkošanas pakalpojumu nodrošināšanu</w:t>
      </w:r>
    </w:p>
    <w:p w:rsidR="00F26679" w:rsidRPr="0012084F" w:rsidRDefault="00F26679" w:rsidP="00F26679">
      <w:pPr>
        <w:jc w:val="center"/>
        <w:rPr>
          <w:b/>
          <w:color w:val="000000"/>
          <w:sz w:val="22"/>
          <w:szCs w:val="22"/>
          <w:lang w:val="lv-LV" w:eastAsia="lv-LV"/>
        </w:rPr>
      </w:pPr>
      <w:r w:rsidRPr="0012084F">
        <w:rPr>
          <w:b/>
          <w:color w:val="000000"/>
          <w:sz w:val="22"/>
          <w:szCs w:val="22"/>
          <w:lang w:val="lv-LV" w:eastAsia="lv-LV"/>
        </w:rPr>
        <w:t xml:space="preserve">ID Nr. </w:t>
      </w:r>
      <w:r w:rsidRPr="0012084F">
        <w:rPr>
          <w:b/>
          <w:color w:val="000000"/>
          <w:sz w:val="22"/>
          <w:szCs w:val="22"/>
          <w:lang w:val="lv-LV"/>
        </w:rPr>
        <w:t>LTV/2017-</w:t>
      </w:r>
      <w:r w:rsidR="009B4B48">
        <w:rPr>
          <w:b/>
          <w:color w:val="000000"/>
          <w:sz w:val="22"/>
          <w:szCs w:val="22"/>
          <w:lang w:val="lv-LV"/>
        </w:rPr>
        <w:t>42</w:t>
      </w:r>
    </w:p>
    <w:p w:rsidR="00F26679" w:rsidRPr="0012084F" w:rsidRDefault="00F26679" w:rsidP="00F26679">
      <w:pPr>
        <w:rPr>
          <w:color w:val="000000"/>
          <w:sz w:val="22"/>
          <w:szCs w:val="22"/>
          <w:lang w:val="lv-LV"/>
        </w:rPr>
      </w:pPr>
    </w:p>
    <w:p w:rsidR="00F26679" w:rsidRPr="0012084F" w:rsidRDefault="00E53528" w:rsidP="00F26679">
      <w:pPr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t>Rīgā</w:t>
      </w:r>
      <w:proofErr w:type="gramStart"/>
      <w:r>
        <w:rPr>
          <w:bCs/>
          <w:color w:val="000000"/>
          <w:sz w:val="22"/>
          <w:szCs w:val="22"/>
          <w:lang w:val="lv-LV"/>
        </w:rPr>
        <w:t xml:space="preserve">  </w:t>
      </w:r>
      <w:proofErr w:type="gramEnd"/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>
        <w:rPr>
          <w:bCs/>
          <w:color w:val="000000"/>
          <w:sz w:val="22"/>
          <w:szCs w:val="22"/>
          <w:lang w:val="lv-LV"/>
        </w:rPr>
        <w:tab/>
      </w:r>
      <w:r w:rsidR="006D7C92" w:rsidRPr="006D7C92">
        <w:rPr>
          <w:bCs/>
          <w:color w:val="000000"/>
          <w:sz w:val="22"/>
          <w:szCs w:val="22"/>
          <w:lang w:val="lv-LV"/>
        </w:rPr>
        <w:t>07</w:t>
      </w:r>
      <w:r w:rsidR="00F26679" w:rsidRPr="006D7C92">
        <w:rPr>
          <w:bCs/>
          <w:color w:val="000000"/>
          <w:sz w:val="22"/>
          <w:szCs w:val="22"/>
          <w:lang w:val="lv-LV"/>
        </w:rPr>
        <w:t>.0</w:t>
      </w:r>
      <w:r w:rsidR="006D7C92" w:rsidRPr="006D7C92">
        <w:rPr>
          <w:bCs/>
          <w:color w:val="000000"/>
          <w:sz w:val="22"/>
          <w:szCs w:val="22"/>
          <w:lang w:val="lv-LV"/>
        </w:rPr>
        <w:t>8</w:t>
      </w:r>
      <w:r w:rsidR="00F26679" w:rsidRPr="006D7C92">
        <w:rPr>
          <w:bCs/>
          <w:color w:val="000000"/>
          <w:sz w:val="22"/>
          <w:szCs w:val="22"/>
          <w:lang w:val="lv-LV"/>
        </w:rPr>
        <w:t>.2017. Nr.</w:t>
      </w:r>
      <w:r w:rsidR="006D7C92" w:rsidRPr="006D7C92">
        <w:rPr>
          <w:bCs/>
          <w:color w:val="000000"/>
          <w:sz w:val="22"/>
          <w:szCs w:val="22"/>
          <w:lang w:val="lv-LV"/>
        </w:rPr>
        <w:t xml:space="preserve"> 38</w:t>
      </w:r>
      <w:r w:rsidR="00F26679" w:rsidRPr="006D7C92">
        <w:rPr>
          <w:bCs/>
          <w:color w:val="000000"/>
          <w:sz w:val="22"/>
          <w:szCs w:val="22"/>
          <w:lang w:val="lv-LV"/>
        </w:rPr>
        <w:t>/1-19</w:t>
      </w:r>
      <w:r w:rsidR="00F26679" w:rsidRPr="0012084F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679" w:rsidRPr="0012084F" w:rsidRDefault="00F26679" w:rsidP="00F26679">
      <w:pPr>
        <w:jc w:val="both"/>
        <w:rPr>
          <w:bCs/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Piedāvājuma izskatīšanas un vērtēšanas kopsavilkums:</w:t>
      </w:r>
    </w:p>
    <w:p w:rsidR="00F26679" w:rsidRPr="0012084F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iepirkumā tika iesniegti </w:t>
      </w:r>
      <w:r w:rsidR="009B4B48">
        <w:rPr>
          <w:bCs/>
          <w:color w:val="000000"/>
          <w:sz w:val="22"/>
          <w:szCs w:val="22"/>
          <w:lang w:val="lv-LV"/>
        </w:rPr>
        <w:t>trīs</w:t>
      </w:r>
      <w:r w:rsidRPr="0012084F">
        <w:rPr>
          <w:bCs/>
          <w:color w:val="000000"/>
          <w:sz w:val="22"/>
          <w:szCs w:val="22"/>
          <w:lang w:val="lv-LV"/>
        </w:rPr>
        <w:t xml:space="preserve"> piedāvājumi - no </w:t>
      </w:r>
      <w:r w:rsidR="00636AAD">
        <w:rPr>
          <w:bCs/>
          <w:color w:val="000000"/>
          <w:sz w:val="22"/>
          <w:szCs w:val="22"/>
          <w:lang w:val="lv-LV"/>
        </w:rPr>
        <w:t>SIA “POLYGLOT</w:t>
      </w:r>
      <w:r w:rsidR="000917A6">
        <w:rPr>
          <w:bCs/>
          <w:color w:val="000000"/>
          <w:sz w:val="22"/>
          <w:szCs w:val="22"/>
          <w:lang w:val="lv-LV"/>
        </w:rPr>
        <w:t>”</w:t>
      </w:r>
      <w:r w:rsidR="00636AAD">
        <w:rPr>
          <w:bCs/>
          <w:color w:val="000000"/>
          <w:sz w:val="22"/>
          <w:szCs w:val="22"/>
          <w:lang w:val="lv-LV"/>
        </w:rPr>
        <w:t xml:space="preserve"> tulkojumi”</w:t>
      </w:r>
      <w:r w:rsidRPr="0012084F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(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>reģ. Nr.</w:t>
      </w:r>
      <w:r w:rsidR="00636AAD">
        <w:rPr>
          <w:bCs/>
          <w:color w:val="000000"/>
          <w:sz w:val="22"/>
          <w:szCs w:val="22"/>
          <w:lang w:val="lv-LV"/>
        </w:rPr>
        <w:t>40103497979</w:t>
      </w:r>
      <w:r w:rsidRPr="0012084F">
        <w:rPr>
          <w:bCs/>
          <w:color w:val="000000"/>
          <w:sz w:val="22"/>
          <w:szCs w:val="22"/>
          <w:lang w:val="lv-LV"/>
        </w:rPr>
        <w:t xml:space="preserve">), </w:t>
      </w:r>
      <w:r w:rsidR="006D7C92">
        <w:rPr>
          <w:bCs/>
          <w:color w:val="000000"/>
          <w:sz w:val="22"/>
          <w:szCs w:val="22"/>
          <w:lang w:val="lv-LV"/>
        </w:rPr>
        <w:t xml:space="preserve">no </w:t>
      </w:r>
      <w:r w:rsidR="00636AAD">
        <w:rPr>
          <w:bCs/>
          <w:color w:val="000000"/>
          <w:sz w:val="22"/>
          <w:szCs w:val="22"/>
          <w:lang w:val="lv-LV"/>
        </w:rPr>
        <w:t>SIA “</w:t>
      </w:r>
      <w:proofErr w:type="spellStart"/>
      <w:r w:rsidR="00636AAD">
        <w:rPr>
          <w:bCs/>
          <w:color w:val="000000"/>
          <w:sz w:val="22"/>
          <w:szCs w:val="22"/>
          <w:lang w:val="lv-LV"/>
        </w:rPr>
        <w:t>Skrivanek</w:t>
      </w:r>
      <w:proofErr w:type="spellEnd"/>
      <w:r w:rsidR="00636AAD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636AAD">
        <w:rPr>
          <w:bCs/>
          <w:color w:val="000000"/>
          <w:sz w:val="22"/>
          <w:szCs w:val="22"/>
          <w:lang w:val="lv-LV"/>
        </w:rPr>
        <w:t>Baltic</w:t>
      </w:r>
      <w:proofErr w:type="spellEnd"/>
      <w:r w:rsidR="00636AAD">
        <w:rPr>
          <w:bCs/>
          <w:color w:val="000000"/>
          <w:sz w:val="22"/>
          <w:szCs w:val="22"/>
          <w:lang w:val="lv-LV"/>
        </w:rPr>
        <w:t>”</w:t>
      </w:r>
      <w:r w:rsidRPr="0012084F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(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>reģ. Nr.</w:t>
      </w:r>
      <w:r w:rsidR="00636AAD">
        <w:rPr>
          <w:bCs/>
          <w:color w:val="000000"/>
          <w:sz w:val="22"/>
          <w:szCs w:val="22"/>
          <w:lang w:val="lv-LV"/>
        </w:rPr>
        <w:t>40003626172</w:t>
      </w:r>
      <w:r w:rsidR="006D7C92">
        <w:rPr>
          <w:bCs/>
          <w:color w:val="000000"/>
          <w:sz w:val="22"/>
          <w:szCs w:val="22"/>
          <w:lang w:val="lv-LV"/>
        </w:rPr>
        <w:t>) un no</w:t>
      </w:r>
      <w:r w:rsidRPr="0012084F">
        <w:rPr>
          <w:bCs/>
          <w:color w:val="000000"/>
          <w:sz w:val="22"/>
          <w:szCs w:val="22"/>
          <w:lang w:val="lv-LV"/>
        </w:rPr>
        <w:t xml:space="preserve"> </w:t>
      </w:r>
      <w:r w:rsidR="00636AAD">
        <w:rPr>
          <w:bCs/>
          <w:color w:val="000000"/>
          <w:sz w:val="22"/>
          <w:szCs w:val="22"/>
          <w:lang w:val="lv-LV"/>
        </w:rPr>
        <w:t>SIA “</w:t>
      </w:r>
      <w:proofErr w:type="spellStart"/>
      <w:r w:rsidR="00636AAD">
        <w:rPr>
          <w:bCs/>
          <w:color w:val="000000"/>
          <w:sz w:val="22"/>
          <w:szCs w:val="22"/>
          <w:lang w:val="lv-LV"/>
        </w:rPr>
        <w:t>Baltic</w:t>
      </w:r>
      <w:proofErr w:type="spellEnd"/>
      <w:r w:rsidR="00636AAD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636AAD">
        <w:rPr>
          <w:bCs/>
          <w:color w:val="000000"/>
          <w:sz w:val="22"/>
          <w:szCs w:val="22"/>
          <w:lang w:val="lv-LV"/>
        </w:rPr>
        <w:t>Translations</w:t>
      </w:r>
      <w:proofErr w:type="spellEnd"/>
      <w:r w:rsidR="00636AAD">
        <w:rPr>
          <w:bCs/>
          <w:color w:val="000000"/>
          <w:sz w:val="22"/>
          <w:szCs w:val="22"/>
          <w:lang w:val="lv-LV"/>
        </w:rPr>
        <w:t>”</w:t>
      </w:r>
      <w:r w:rsidRPr="0012084F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(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>reģ. Nr.</w:t>
      </w:r>
      <w:r w:rsidR="00636AAD">
        <w:rPr>
          <w:bCs/>
          <w:color w:val="000000"/>
          <w:sz w:val="22"/>
          <w:szCs w:val="22"/>
          <w:lang w:val="lv-LV"/>
        </w:rPr>
        <w:t>40103457302</w:t>
      </w:r>
      <w:r w:rsidRPr="0012084F">
        <w:rPr>
          <w:bCs/>
          <w:color w:val="000000"/>
          <w:sz w:val="22"/>
          <w:szCs w:val="22"/>
          <w:lang w:val="lv-LV"/>
        </w:rPr>
        <w:t>);</w:t>
      </w:r>
    </w:p>
    <w:p w:rsidR="00F26679" w:rsidRPr="0012084F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visu pretendentu kvalifikācija atbilst iepirkuma nolikuma A sadaļas “Instrukcija pretendentiem” noteiktajām kvalifikācijas prasībām;</w:t>
      </w:r>
    </w:p>
    <w:p w:rsidR="00F26679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visu pretendentu tehniskie piedāvājumi atbilst iepirkuma nolikumā C sadaļas “Tehniskā specifikācija” noteiktajām tehniskās specifikācijas prasībām;</w:t>
      </w:r>
    </w:p>
    <w:p w:rsidR="00F26679" w:rsidRPr="0012084F" w:rsidRDefault="006D7C92" w:rsidP="00F26679">
      <w:pPr>
        <w:pStyle w:val="ListParagraph"/>
        <w:numPr>
          <w:ilvl w:val="0"/>
          <w:numId w:val="1"/>
        </w:numPr>
        <w:ind w:left="567"/>
        <w:jc w:val="both"/>
        <w:rPr>
          <w:color w:val="000000"/>
          <w:sz w:val="22"/>
          <w:lang w:val="lv-LV" w:eastAsia="lv-LV"/>
        </w:rPr>
      </w:pPr>
      <w:r>
        <w:rPr>
          <w:color w:val="000000"/>
          <w:sz w:val="22"/>
          <w:lang w:val="lv-LV" w:eastAsia="lv-LV"/>
        </w:rPr>
        <w:t>s</w:t>
      </w:r>
      <w:r w:rsidR="00F26679" w:rsidRPr="0012084F">
        <w:rPr>
          <w:color w:val="000000"/>
          <w:sz w:val="22"/>
          <w:lang w:val="lv-LV" w:eastAsia="lv-LV"/>
        </w:rPr>
        <w:t xml:space="preserve">aimnieciski visizdevīgākā piedāvājuma vērtēšanas rezultātā pretendentu piedāvājumi saņēma </w:t>
      </w:r>
      <w:r w:rsidR="000917A6">
        <w:rPr>
          <w:color w:val="000000"/>
          <w:sz w:val="22"/>
          <w:lang w:val="lv-LV" w:eastAsia="lv-LV"/>
        </w:rPr>
        <w:t>šādu punktu skaitu</w:t>
      </w:r>
      <w:r>
        <w:rPr>
          <w:color w:val="000000"/>
          <w:sz w:val="22"/>
          <w:lang w:val="lv-LV" w:eastAsia="lv-LV"/>
        </w:rPr>
        <w:t>, saskaņā ar iepirkuma nolikuma 7.13. punktā noteiktajiem vērtēšanas kritērijiem</w:t>
      </w:r>
      <w:r w:rsidR="00F26679" w:rsidRPr="0012084F">
        <w:rPr>
          <w:color w:val="000000"/>
          <w:sz w:val="22"/>
          <w:lang w:val="lv-LV" w:eastAsia="lv-LV"/>
        </w:rPr>
        <w:t>:</w:t>
      </w: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2684"/>
        <w:gridCol w:w="1134"/>
        <w:gridCol w:w="1701"/>
        <w:gridCol w:w="1701"/>
        <w:gridCol w:w="1559"/>
      </w:tblGrid>
      <w:tr w:rsidR="006D7C92" w:rsidRPr="006D7C92" w:rsidTr="008D525A">
        <w:trPr>
          <w:trHeight w:val="70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sz w:val="22"/>
                <w:szCs w:val="22"/>
                <w:lang w:val="lv-LV" w:eastAsia="lv-LV"/>
              </w:rPr>
              <w:t>Saimnieciski visizdevīgākā piedāvājuma izvēles kritēriji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sz w:val="22"/>
                <w:szCs w:val="22"/>
                <w:lang w:val="lv-LV" w:eastAsia="lv-LV"/>
              </w:rPr>
              <w:t>Kritērija punkti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6D7C92" w:rsidRPr="006D7C92" w:rsidRDefault="006D7C92" w:rsidP="00735A51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Skrivanek</w:t>
            </w:r>
            <w:proofErr w:type="spellEnd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Baltic</w:t>
            </w:r>
            <w:proofErr w:type="spellEnd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” iegūtie punkti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SIA “POLYGLOT</w:t>
            </w:r>
            <w:r w:rsidR="001A5228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tulkojumi</w:t>
            </w:r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” iegūtie punkti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b/>
                <w:bCs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SIA “</w:t>
            </w:r>
            <w:proofErr w:type="spellStart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Baltic</w:t>
            </w:r>
            <w:proofErr w:type="spellEnd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Translations</w:t>
            </w:r>
            <w:proofErr w:type="spellEnd"/>
            <w:r w:rsidRPr="006D7C92">
              <w:rPr>
                <w:b/>
                <w:bCs/>
                <w:color w:val="000000"/>
                <w:sz w:val="22"/>
                <w:szCs w:val="22"/>
                <w:lang w:val="lv-LV"/>
              </w:rPr>
              <w:t>” iegūtie punkti</w:t>
            </w:r>
          </w:p>
        </w:tc>
      </w:tr>
      <w:tr w:rsidR="006D7C92" w:rsidRPr="006D7C92" w:rsidTr="008D525A">
        <w:trPr>
          <w:trHeight w:val="443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pStyle w:val="NoSpacing"/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6D7C92">
              <w:rPr>
                <w:rFonts w:cs="Times New Roman"/>
                <w:bCs/>
                <w:sz w:val="22"/>
              </w:rPr>
              <w:t>Finanšu piedāvājuma A sadaļas rakstiskie tulkojumi (2 valodas)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28,57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D7C92">
              <w:rPr>
                <w:color w:val="000000"/>
                <w:sz w:val="22"/>
                <w:szCs w:val="22"/>
                <w:lang w:val="lv-LV" w:eastAsia="lv-LV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6D7C92">
              <w:rPr>
                <w:color w:val="000000"/>
                <w:sz w:val="22"/>
                <w:szCs w:val="22"/>
                <w:lang w:val="lv-LV" w:eastAsia="lv-LV"/>
              </w:rPr>
              <w:t>48,27</w:t>
            </w:r>
          </w:p>
        </w:tc>
      </w:tr>
      <w:tr w:rsidR="006D7C92" w:rsidRPr="006D7C92" w:rsidTr="008D525A">
        <w:trPr>
          <w:trHeight w:val="766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pStyle w:val="NoSpacing"/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6D7C92">
              <w:rPr>
                <w:rFonts w:cs="Times New Roman"/>
                <w:bCs/>
                <w:sz w:val="22"/>
              </w:rPr>
              <w:t>Finanšu piedāvājuma B sadaļas rakstiskie tulkojumi (9 valodas)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20</w:t>
            </w:r>
          </w:p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10,22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18,43</w:t>
            </w:r>
          </w:p>
        </w:tc>
      </w:tr>
      <w:tr w:rsidR="006D7C92" w:rsidRPr="006D7C92" w:rsidTr="008D525A">
        <w:trPr>
          <w:trHeight w:val="436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pStyle w:val="NoSpacing"/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6D7C92">
              <w:rPr>
                <w:rFonts w:cs="Times New Roman"/>
                <w:bCs/>
                <w:sz w:val="22"/>
              </w:rPr>
              <w:t>Finanšu piedāvājuma A sadaļas mutiskie tulkojumi (2 valodas)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5</w:t>
            </w:r>
          </w:p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1,91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5</w:t>
            </w:r>
          </w:p>
        </w:tc>
      </w:tr>
      <w:tr w:rsidR="006D7C92" w:rsidRPr="006D7C92" w:rsidTr="008D525A">
        <w:trPr>
          <w:trHeight w:val="220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pStyle w:val="NoSpacing"/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b/>
                <w:bCs/>
                <w:sz w:val="22"/>
                <w:lang w:eastAsia="lv-LV"/>
              </w:rPr>
            </w:pPr>
            <w:r w:rsidRPr="006D7C92">
              <w:rPr>
                <w:rFonts w:cs="Times New Roman"/>
                <w:bCs/>
                <w:sz w:val="22"/>
              </w:rPr>
              <w:t>Finanšu piedāvājuma B sadaļas mutiskie tulkojumi (9 valodas)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5</w:t>
            </w:r>
          </w:p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>
              <w:rPr>
                <w:sz w:val="22"/>
                <w:szCs w:val="22"/>
                <w:lang w:val="lv-LV" w:eastAsia="lv-LV"/>
              </w:rPr>
              <w:t>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5</w:t>
            </w:r>
          </w:p>
        </w:tc>
      </w:tr>
      <w:tr w:rsidR="006D7C92" w:rsidRPr="006D7C92" w:rsidTr="008D525A">
        <w:trPr>
          <w:trHeight w:val="445"/>
          <w:jc w:val="center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C92" w:rsidRPr="006D7C92" w:rsidRDefault="006D7C92" w:rsidP="006D7C92">
            <w:pPr>
              <w:pStyle w:val="NoSpacing"/>
              <w:numPr>
                <w:ilvl w:val="0"/>
                <w:numId w:val="4"/>
              </w:numPr>
              <w:tabs>
                <w:tab w:val="left" w:pos="308"/>
              </w:tabs>
              <w:ind w:left="0" w:firstLine="0"/>
              <w:rPr>
                <w:sz w:val="22"/>
                <w:lang w:eastAsia="lv-LV"/>
              </w:rPr>
            </w:pPr>
            <w:r w:rsidRPr="006D7C92">
              <w:rPr>
                <w:sz w:val="22"/>
              </w:rPr>
              <w:t>Piemērojamās apjoma atlaides procentos rakstiskajiem tulkojumiem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7C92" w:rsidRPr="006D7C92" w:rsidRDefault="006D7C92" w:rsidP="00735A51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D7C92">
              <w:rPr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0,91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C92" w:rsidRPr="006D7C92" w:rsidRDefault="006D7C92" w:rsidP="006D7C92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 w:rsidRPr="006D7C92">
              <w:rPr>
                <w:bCs/>
                <w:sz w:val="22"/>
                <w:szCs w:val="22"/>
                <w:lang w:val="lv-LV" w:eastAsia="lv-LV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7C92" w:rsidRPr="006D7C92" w:rsidRDefault="001A5228" w:rsidP="006D7C92">
            <w:pPr>
              <w:jc w:val="center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5,85</w:t>
            </w:r>
          </w:p>
        </w:tc>
      </w:tr>
      <w:tr w:rsidR="006D7C92" w:rsidRPr="006D7C92" w:rsidTr="008D525A">
        <w:trPr>
          <w:trHeight w:val="233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right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Kopējais vērtējums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>
              <w:rPr>
                <w:color w:val="000000"/>
                <w:sz w:val="22"/>
                <w:szCs w:val="22"/>
                <w:lang w:val="lv-LV" w:eastAsia="lv-LV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7C92" w:rsidRPr="006D7C92" w:rsidRDefault="001A5228" w:rsidP="006D7C9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47,67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6D7C92" w:rsidP="006D7C9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6D7C92"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95,02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C92" w:rsidRPr="006D7C92" w:rsidRDefault="001A5228" w:rsidP="006D7C92">
            <w:pPr>
              <w:jc w:val="center"/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 w:eastAsia="lv-LV"/>
              </w:rPr>
              <w:t>82,54</w:t>
            </w:r>
          </w:p>
        </w:tc>
      </w:tr>
    </w:tbl>
    <w:p w:rsidR="00F26679" w:rsidRPr="0012084F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pretendenta </w:t>
      </w:r>
      <w:r w:rsidR="00CC5939">
        <w:rPr>
          <w:bCs/>
          <w:color w:val="000000"/>
          <w:sz w:val="22"/>
          <w:szCs w:val="22"/>
          <w:lang w:val="lv-LV"/>
        </w:rPr>
        <w:t>SIA “POLYGLOT</w:t>
      </w:r>
      <w:r w:rsidR="00E53528">
        <w:rPr>
          <w:bCs/>
          <w:color w:val="000000"/>
          <w:sz w:val="22"/>
          <w:szCs w:val="22"/>
          <w:lang w:val="lv-LV"/>
        </w:rPr>
        <w:t xml:space="preserve"> tulkojumi</w:t>
      </w:r>
      <w:r w:rsidR="00CC5939">
        <w:rPr>
          <w:bCs/>
          <w:color w:val="000000"/>
          <w:sz w:val="22"/>
          <w:szCs w:val="22"/>
          <w:lang w:val="lv-LV"/>
        </w:rPr>
        <w:t>”</w:t>
      </w:r>
      <w:r w:rsidRPr="0012084F">
        <w:rPr>
          <w:bCs/>
          <w:color w:val="000000"/>
          <w:sz w:val="22"/>
          <w:szCs w:val="22"/>
          <w:lang w:val="lv-LV"/>
        </w:rPr>
        <w:t xml:space="preserve"> piedāvājums atbilst visām iepirkuma nolikuma prasībām un ir atzīstams par saimnieciski visizdevīgāko piedāvājumu,</w:t>
      </w:r>
      <w:r w:rsidRPr="0012084F">
        <w:rPr>
          <w:rFonts w:eastAsia="Calibri"/>
          <w:sz w:val="22"/>
          <w:szCs w:val="22"/>
          <w:lang w:val="lv-LV"/>
        </w:rPr>
        <w:t xml:space="preserve">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t.i.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 xml:space="preserve"> tā piedāvājums ir saņēmis </w:t>
      </w:r>
      <w:r>
        <w:rPr>
          <w:bCs/>
          <w:color w:val="000000"/>
          <w:sz w:val="22"/>
          <w:szCs w:val="22"/>
          <w:lang w:val="lv-LV"/>
        </w:rPr>
        <w:t>vis</w:t>
      </w:r>
      <w:r w:rsidRPr="0012084F">
        <w:rPr>
          <w:bCs/>
          <w:color w:val="000000"/>
          <w:sz w:val="22"/>
          <w:szCs w:val="22"/>
          <w:lang w:val="lv-LV"/>
        </w:rPr>
        <w:t xml:space="preserve">lielāko </w:t>
      </w:r>
      <w:r w:rsidR="00E53528">
        <w:rPr>
          <w:bCs/>
          <w:color w:val="000000"/>
          <w:sz w:val="22"/>
          <w:szCs w:val="22"/>
          <w:lang w:val="lv-LV"/>
        </w:rPr>
        <w:t xml:space="preserve">punktu </w:t>
      </w:r>
      <w:r w:rsidR="00CC5939">
        <w:rPr>
          <w:bCs/>
          <w:color w:val="000000"/>
          <w:sz w:val="22"/>
          <w:szCs w:val="22"/>
          <w:lang w:val="lv-LV"/>
        </w:rPr>
        <w:t>skaitu</w:t>
      </w:r>
      <w:r w:rsidR="00E53528">
        <w:rPr>
          <w:bCs/>
          <w:color w:val="000000"/>
          <w:sz w:val="22"/>
          <w:szCs w:val="22"/>
          <w:lang w:val="lv-LV"/>
        </w:rPr>
        <w:t>, saskaņā ar iepirkuma nolikuma 7.13. punktā noteiktajiem vērtēšanas kritērijiem</w:t>
      </w:r>
      <w:r w:rsidRPr="0012084F">
        <w:rPr>
          <w:bCs/>
          <w:color w:val="000000"/>
          <w:sz w:val="22"/>
          <w:szCs w:val="22"/>
          <w:lang w:val="lv-LV"/>
        </w:rPr>
        <w:t>;</w:t>
      </w:r>
    </w:p>
    <w:p w:rsidR="00F26679" w:rsidRPr="0012084F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izziņa</w:t>
      </w:r>
      <w:r>
        <w:rPr>
          <w:bCs/>
          <w:color w:val="000000"/>
          <w:sz w:val="22"/>
          <w:szCs w:val="22"/>
          <w:lang w:val="lv-LV"/>
        </w:rPr>
        <w:t>s</w:t>
      </w:r>
      <w:r w:rsidR="00E53528">
        <w:rPr>
          <w:bCs/>
          <w:color w:val="000000"/>
          <w:sz w:val="22"/>
          <w:szCs w:val="22"/>
          <w:lang w:val="lv-LV"/>
        </w:rPr>
        <w:t xml:space="preserve"> un SIA “</w:t>
      </w:r>
      <w:proofErr w:type="spellStart"/>
      <w:r w:rsidR="00E53528">
        <w:rPr>
          <w:bCs/>
          <w:color w:val="000000"/>
          <w:sz w:val="22"/>
          <w:szCs w:val="22"/>
          <w:lang w:val="lv-LV"/>
        </w:rPr>
        <w:t>Skrivanek</w:t>
      </w:r>
      <w:proofErr w:type="spellEnd"/>
      <w:r w:rsidR="00E53528">
        <w:rPr>
          <w:bCs/>
          <w:color w:val="000000"/>
          <w:sz w:val="22"/>
          <w:szCs w:val="22"/>
          <w:lang w:val="lv-LV"/>
        </w:rPr>
        <w:t xml:space="preserve"> </w:t>
      </w:r>
      <w:proofErr w:type="spellStart"/>
      <w:r w:rsidR="00E53528">
        <w:rPr>
          <w:bCs/>
          <w:color w:val="000000"/>
          <w:sz w:val="22"/>
          <w:szCs w:val="22"/>
          <w:lang w:val="lv-LV"/>
        </w:rPr>
        <w:t>Baltic</w:t>
      </w:r>
      <w:proofErr w:type="spellEnd"/>
      <w:r w:rsidR="00E53528">
        <w:rPr>
          <w:bCs/>
          <w:color w:val="000000"/>
          <w:sz w:val="22"/>
          <w:szCs w:val="22"/>
          <w:lang w:val="lv-LV"/>
        </w:rPr>
        <w:t>” iesniegtā informācija</w:t>
      </w:r>
      <w:r w:rsidRPr="0012084F">
        <w:rPr>
          <w:bCs/>
          <w:color w:val="000000"/>
          <w:sz w:val="22"/>
          <w:szCs w:val="22"/>
          <w:lang w:val="lv-LV"/>
        </w:rPr>
        <w:t xml:space="preserve"> apliecina, ka nevienam pretendentam </w:t>
      </w:r>
      <w:r w:rsidR="006D7C92" w:rsidRPr="00DE6F38">
        <w:rPr>
          <w:color w:val="000000"/>
          <w:sz w:val="22"/>
          <w:szCs w:val="22"/>
          <w:lang w:val="lv-LV"/>
        </w:rPr>
        <w:t>piedāvājumu iesniegšanas termiņa pēdējā dienā (</w:t>
      </w:r>
      <w:r w:rsidR="006D7C92">
        <w:rPr>
          <w:color w:val="000000"/>
          <w:sz w:val="22"/>
          <w:szCs w:val="22"/>
          <w:lang w:val="lv-LV"/>
        </w:rPr>
        <w:t>17.07.2017</w:t>
      </w:r>
      <w:r w:rsidR="006D7C92" w:rsidRPr="00DE6F38">
        <w:rPr>
          <w:color w:val="000000"/>
          <w:sz w:val="22"/>
          <w:szCs w:val="22"/>
          <w:lang w:val="lv-LV"/>
        </w:rPr>
        <w:t xml:space="preserve">.) </w:t>
      </w:r>
      <w:r w:rsidR="006D7C92">
        <w:rPr>
          <w:color w:val="000000"/>
          <w:sz w:val="22"/>
          <w:szCs w:val="22"/>
          <w:lang w:val="lv-LV"/>
        </w:rPr>
        <w:t xml:space="preserve">un </w:t>
      </w:r>
      <w:r w:rsidRPr="0012084F">
        <w:rPr>
          <w:bCs/>
          <w:color w:val="000000"/>
          <w:sz w:val="22"/>
          <w:szCs w:val="22"/>
          <w:lang w:val="lv-LV"/>
        </w:rPr>
        <w:t xml:space="preserve">šī lēmuma pieņemšanas </w:t>
      </w:r>
      <w:r w:rsidRPr="00E53528">
        <w:rPr>
          <w:bCs/>
          <w:color w:val="000000"/>
          <w:sz w:val="22"/>
          <w:szCs w:val="22"/>
          <w:lang w:val="lv-LV"/>
        </w:rPr>
        <w:t>dienā (</w:t>
      </w:r>
      <w:r w:rsidR="00E53528" w:rsidRPr="00E53528">
        <w:rPr>
          <w:bCs/>
          <w:color w:val="000000"/>
          <w:sz w:val="22"/>
          <w:szCs w:val="22"/>
          <w:lang w:val="lv-LV"/>
        </w:rPr>
        <w:t>07</w:t>
      </w:r>
      <w:r w:rsidRPr="00E53528">
        <w:rPr>
          <w:bCs/>
          <w:color w:val="000000"/>
          <w:sz w:val="22"/>
          <w:szCs w:val="22"/>
          <w:lang w:val="lv-LV"/>
        </w:rPr>
        <w:t>.</w:t>
      </w:r>
      <w:r w:rsidR="00E53528" w:rsidRPr="00E53528">
        <w:rPr>
          <w:bCs/>
          <w:color w:val="000000"/>
          <w:sz w:val="22"/>
          <w:szCs w:val="22"/>
          <w:lang w:val="lv-LV"/>
        </w:rPr>
        <w:t>08</w:t>
      </w:r>
      <w:r w:rsidRPr="00E53528">
        <w:rPr>
          <w:bCs/>
          <w:color w:val="000000"/>
          <w:sz w:val="22"/>
          <w:szCs w:val="22"/>
          <w:lang w:val="lv-LV"/>
        </w:rPr>
        <w:t>.2017.) nebija</w:t>
      </w:r>
      <w:r w:rsidRPr="0012084F">
        <w:rPr>
          <w:bCs/>
          <w:color w:val="000000"/>
          <w:sz w:val="22"/>
          <w:szCs w:val="22"/>
          <w:lang w:val="lv-LV"/>
        </w:rPr>
        <w:t xml:space="preserve"> nodokļu (nodevu) parādu, kas kopsummā pārsniegtu 150 EUR;</w:t>
      </w:r>
    </w:p>
    <w:p w:rsidR="00F26679" w:rsidRPr="0012084F" w:rsidRDefault="00F26679" w:rsidP="00F26679">
      <w:pPr>
        <w:numPr>
          <w:ilvl w:val="0"/>
          <w:numId w:val="1"/>
        </w:numPr>
        <w:ind w:left="567"/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Elektronisko iepirkumu sistēmas E-izziņu sistēmā iegūtā</w:t>
      </w:r>
      <w:r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izziņa</w:t>
      </w:r>
      <w:r>
        <w:rPr>
          <w:bCs/>
          <w:color w:val="000000"/>
          <w:sz w:val="22"/>
          <w:szCs w:val="22"/>
          <w:lang w:val="lv-LV"/>
        </w:rPr>
        <w:t>s</w:t>
      </w:r>
      <w:r w:rsidRPr="0012084F">
        <w:rPr>
          <w:bCs/>
          <w:color w:val="000000"/>
          <w:sz w:val="22"/>
          <w:szCs w:val="22"/>
          <w:lang w:val="lv-LV"/>
        </w:rPr>
        <w:t xml:space="preserve"> apliecina, ka nevienam pretendentam nav pasludināts maksātnespējas (t.sk. bankrota) process, tie neatrodas likvidācijas stadijā un to saimnieciskā darbība nav apturēta vai pārtraukta.</w:t>
      </w:r>
    </w:p>
    <w:p w:rsidR="00CC5939" w:rsidRPr="0012084F" w:rsidRDefault="00CC5939" w:rsidP="00F26679">
      <w:pPr>
        <w:jc w:val="both"/>
        <w:rPr>
          <w:bCs/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>Iepirkuma komisijas lēmums:</w:t>
      </w:r>
    </w:p>
    <w:p w:rsidR="00F26679" w:rsidRPr="0012084F" w:rsidRDefault="00F26679" w:rsidP="00F26679">
      <w:pPr>
        <w:jc w:val="both"/>
        <w:rPr>
          <w:bCs/>
          <w:color w:val="000000"/>
          <w:sz w:val="22"/>
          <w:szCs w:val="22"/>
          <w:lang w:val="lv-LV"/>
        </w:rPr>
      </w:pPr>
    </w:p>
    <w:p w:rsidR="00F35430" w:rsidRPr="00F35430" w:rsidRDefault="00F26679" w:rsidP="00F35430">
      <w:pPr>
        <w:jc w:val="both"/>
        <w:rPr>
          <w:b/>
          <w:bCs/>
          <w:color w:val="000000"/>
          <w:sz w:val="22"/>
          <w:szCs w:val="22"/>
          <w:lang w:val="lv-LV"/>
        </w:rPr>
      </w:pPr>
      <w:r w:rsidRPr="0012084F">
        <w:rPr>
          <w:bCs/>
          <w:color w:val="000000"/>
          <w:sz w:val="22"/>
          <w:szCs w:val="22"/>
          <w:lang w:val="lv-LV"/>
        </w:rPr>
        <w:t xml:space="preserve">Pamatojoties uz Publisko iepirkumu likuma </w:t>
      </w:r>
      <w:r w:rsidR="00CC5939">
        <w:rPr>
          <w:bCs/>
          <w:color w:val="000000"/>
          <w:sz w:val="22"/>
          <w:szCs w:val="22"/>
          <w:lang w:val="lv-LV"/>
        </w:rPr>
        <w:t>9.</w:t>
      </w:r>
      <w:r w:rsidRPr="0012084F">
        <w:rPr>
          <w:bCs/>
          <w:color w:val="000000"/>
          <w:sz w:val="22"/>
          <w:szCs w:val="22"/>
          <w:vertAlign w:val="superscript"/>
          <w:lang w:val="lv-LV"/>
        </w:rPr>
        <w:t> </w:t>
      </w:r>
      <w:r w:rsidRPr="0012084F">
        <w:rPr>
          <w:bCs/>
          <w:color w:val="000000"/>
          <w:sz w:val="22"/>
          <w:szCs w:val="22"/>
          <w:lang w:val="lv-LV"/>
        </w:rPr>
        <w:t>panta kārtībā organizētā iepirkuma “</w:t>
      </w:r>
      <w:r w:rsidR="00CC5939">
        <w:rPr>
          <w:bCs/>
          <w:color w:val="000000"/>
          <w:sz w:val="22"/>
          <w:szCs w:val="22"/>
          <w:lang w:val="lv-LV"/>
        </w:rPr>
        <w:t>Par tulkošanas pakalpojumu nodrošināšanu</w:t>
      </w:r>
      <w:r w:rsidRPr="0012084F">
        <w:rPr>
          <w:bCs/>
          <w:color w:val="000000"/>
          <w:sz w:val="22"/>
          <w:szCs w:val="22"/>
          <w:lang w:val="lv-LV"/>
        </w:rPr>
        <w:t>” (LTV/2017-</w:t>
      </w:r>
      <w:r w:rsidR="00CC5939">
        <w:rPr>
          <w:bCs/>
          <w:color w:val="000000"/>
          <w:sz w:val="22"/>
          <w:szCs w:val="22"/>
          <w:lang w:val="lv-LV"/>
        </w:rPr>
        <w:t>42</w:t>
      </w:r>
      <w:r w:rsidRPr="0012084F">
        <w:rPr>
          <w:bCs/>
          <w:color w:val="000000"/>
          <w:sz w:val="22"/>
          <w:szCs w:val="22"/>
          <w:lang w:val="lv-LV"/>
        </w:rPr>
        <w:t>) nolikuma 7.1</w:t>
      </w:r>
      <w:r w:rsidR="00CC5939">
        <w:rPr>
          <w:bCs/>
          <w:color w:val="000000"/>
          <w:sz w:val="22"/>
          <w:szCs w:val="22"/>
          <w:lang w:val="lv-LV"/>
        </w:rPr>
        <w:t>3</w:t>
      </w:r>
      <w:r w:rsidRPr="0012084F">
        <w:rPr>
          <w:bCs/>
          <w:color w:val="000000"/>
          <w:sz w:val="22"/>
          <w:szCs w:val="22"/>
          <w:lang w:val="lv-LV"/>
        </w:rPr>
        <w:t>.</w:t>
      </w:r>
      <w:r w:rsidR="00E53528">
        <w:rPr>
          <w:bCs/>
          <w:color w:val="000000"/>
          <w:sz w:val="22"/>
          <w:szCs w:val="22"/>
          <w:lang w:val="lv-LV"/>
        </w:rPr>
        <w:t xml:space="preserve"> </w:t>
      </w:r>
      <w:r w:rsidRPr="0012084F">
        <w:rPr>
          <w:bCs/>
          <w:color w:val="000000"/>
          <w:sz w:val="22"/>
          <w:szCs w:val="22"/>
          <w:lang w:val="lv-LV"/>
        </w:rPr>
        <w:t xml:space="preserve">punktu, iepirkumu komisija atzina par uzvarētāju un piešķīra iepirkuma līguma slēgšanas tiesības pretendentam </w:t>
      </w:r>
      <w:r w:rsidR="00CC5939">
        <w:rPr>
          <w:bCs/>
          <w:color w:val="000000"/>
          <w:sz w:val="22"/>
          <w:szCs w:val="22"/>
          <w:lang w:val="lv-LV"/>
        </w:rPr>
        <w:t>SIA “POLYGLOT</w:t>
      </w:r>
      <w:r w:rsidR="00E53528">
        <w:rPr>
          <w:bCs/>
          <w:color w:val="000000"/>
          <w:sz w:val="22"/>
          <w:szCs w:val="22"/>
          <w:lang w:val="lv-LV"/>
        </w:rPr>
        <w:t xml:space="preserve"> tulkojumi</w:t>
      </w:r>
      <w:r w:rsidR="00CC5939">
        <w:rPr>
          <w:bCs/>
          <w:color w:val="000000"/>
          <w:sz w:val="22"/>
          <w:szCs w:val="22"/>
          <w:lang w:val="lv-LV"/>
        </w:rPr>
        <w:t>”</w:t>
      </w:r>
      <w:r w:rsidRPr="0012084F">
        <w:rPr>
          <w:b/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(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>reģ. Nr.</w:t>
      </w:r>
      <w:r w:rsidR="00CC5939" w:rsidRPr="00CC5939">
        <w:rPr>
          <w:bCs/>
          <w:color w:val="000000"/>
          <w:sz w:val="22"/>
          <w:szCs w:val="22"/>
          <w:lang w:val="lv-LV"/>
        </w:rPr>
        <w:t xml:space="preserve"> </w:t>
      </w:r>
      <w:r w:rsidR="00CC5939">
        <w:rPr>
          <w:bCs/>
          <w:color w:val="000000"/>
          <w:sz w:val="22"/>
          <w:szCs w:val="22"/>
          <w:lang w:val="lv-LV"/>
        </w:rPr>
        <w:t>40103497979</w:t>
      </w:r>
      <w:r w:rsidRPr="0012084F">
        <w:rPr>
          <w:bCs/>
          <w:color w:val="000000"/>
          <w:sz w:val="22"/>
          <w:szCs w:val="22"/>
          <w:lang w:val="lv-LV"/>
        </w:rPr>
        <w:t xml:space="preserve">), jo tā piedāvājums atbilst iepirkuma nolikuma t.sk. tehniskās specifikācijas prasībām un ir </w:t>
      </w:r>
      <w:r>
        <w:rPr>
          <w:bCs/>
          <w:color w:val="000000"/>
          <w:sz w:val="22"/>
          <w:szCs w:val="22"/>
          <w:lang w:val="lv-LV"/>
        </w:rPr>
        <w:t>saimnieciski visizdevīgākais piedāvājums</w:t>
      </w:r>
      <w:r w:rsidRPr="0012084F">
        <w:rPr>
          <w:bCs/>
          <w:color w:val="000000"/>
          <w:sz w:val="22"/>
          <w:szCs w:val="22"/>
          <w:lang w:val="lv-LV"/>
        </w:rPr>
        <w:t xml:space="preserve">, </w:t>
      </w:r>
      <w:proofErr w:type="gramStart"/>
      <w:r w:rsidRPr="0012084F">
        <w:rPr>
          <w:bCs/>
          <w:color w:val="000000"/>
          <w:sz w:val="22"/>
          <w:szCs w:val="22"/>
          <w:lang w:val="lv-LV"/>
        </w:rPr>
        <w:t>t.i.</w:t>
      </w:r>
      <w:proofErr w:type="gramEnd"/>
      <w:r w:rsidRPr="0012084F">
        <w:rPr>
          <w:bCs/>
          <w:color w:val="000000"/>
          <w:sz w:val="22"/>
          <w:szCs w:val="22"/>
          <w:lang w:val="lv-LV"/>
        </w:rPr>
        <w:t xml:space="preserve"> tā piedāvājums ir saņēmis </w:t>
      </w:r>
      <w:r>
        <w:rPr>
          <w:bCs/>
          <w:color w:val="000000"/>
          <w:sz w:val="22"/>
          <w:szCs w:val="22"/>
          <w:lang w:val="lv-LV"/>
        </w:rPr>
        <w:t>vis</w:t>
      </w:r>
      <w:r w:rsidRPr="0012084F">
        <w:rPr>
          <w:bCs/>
          <w:color w:val="000000"/>
          <w:sz w:val="22"/>
          <w:szCs w:val="22"/>
          <w:lang w:val="lv-LV"/>
        </w:rPr>
        <w:t xml:space="preserve">lielāko vidējo punktu skaitu, apkopojot iepirkumu komisijas locekļu individuālos vērtējumus. </w:t>
      </w:r>
      <w:r w:rsidR="00F35430" w:rsidRPr="00F35430">
        <w:rPr>
          <w:bCs/>
          <w:color w:val="000000"/>
          <w:sz w:val="22"/>
          <w:szCs w:val="22"/>
          <w:lang w:val="lv-LV"/>
        </w:rPr>
        <w:t>Kopējā līgumcena</w:t>
      </w:r>
      <w:proofErr w:type="gramStart"/>
      <w:r w:rsidR="00F35430" w:rsidRPr="00F35430">
        <w:rPr>
          <w:bCs/>
          <w:color w:val="000000"/>
          <w:sz w:val="22"/>
          <w:szCs w:val="22"/>
          <w:lang w:val="lv-LV"/>
        </w:rPr>
        <w:t xml:space="preserve"> par kādu tiks slēgts iepirkuma līgums (bez PVN)</w:t>
      </w:r>
      <w:proofErr w:type="gramEnd"/>
      <w:r w:rsidR="00F35430" w:rsidRPr="00F35430">
        <w:rPr>
          <w:bCs/>
          <w:color w:val="000000"/>
          <w:sz w:val="22"/>
          <w:szCs w:val="22"/>
          <w:lang w:val="lv-LV"/>
        </w:rPr>
        <w:t xml:space="preserve"> ir </w:t>
      </w:r>
      <w:r w:rsidR="00F35430">
        <w:rPr>
          <w:bCs/>
          <w:color w:val="000000"/>
          <w:sz w:val="22"/>
          <w:szCs w:val="22"/>
          <w:lang w:val="lv-LV"/>
        </w:rPr>
        <w:t xml:space="preserve">šim iepirkumam paredzētais pasūtītāja finansējums </w:t>
      </w:r>
      <w:r w:rsidR="00F35430">
        <w:rPr>
          <w:b/>
          <w:bCs/>
          <w:color w:val="000000"/>
          <w:sz w:val="22"/>
          <w:szCs w:val="22"/>
          <w:lang w:val="lv-LV"/>
        </w:rPr>
        <w:t>40 000</w:t>
      </w:r>
      <w:r w:rsidR="00F35430" w:rsidRPr="00F35430">
        <w:rPr>
          <w:b/>
          <w:bCs/>
          <w:color w:val="000000"/>
          <w:sz w:val="22"/>
          <w:szCs w:val="22"/>
          <w:lang w:val="lv-LV"/>
        </w:rPr>
        <w:t>,00 EUR</w:t>
      </w:r>
      <w:r w:rsidR="00F35430" w:rsidRPr="00F35430">
        <w:rPr>
          <w:bCs/>
          <w:color w:val="000000"/>
          <w:sz w:val="22"/>
          <w:szCs w:val="22"/>
          <w:lang w:val="lv-LV"/>
        </w:rPr>
        <w:t xml:space="preserve"> (</w:t>
      </w:r>
      <w:r w:rsidR="00F35430">
        <w:rPr>
          <w:bCs/>
          <w:color w:val="000000"/>
          <w:sz w:val="22"/>
          <w:szCs w:val="22"/>
          <w:lang w:val="lv-LV"/>
        </w:rPr>
        <w:t>četrdesmit tūkstoši</w:t>
      </w:r>
      <w:r w:rsidR="00F35430" w:rsidRPr="00F35430">
        <w:rPr>
          <w:bCs/>
          <w:color w:val="000000"/>
          <w:sz w:val="22"/>
          <w:szCs w:val="22"/>
          <w:lang w:val="lv-LV"/>
        </w:rPr>
        <w:t xml:space="preserve"> </w:t>
      </w:r>
      <w:r w:rsidR="00F35430" w:rsidRPr="00F35430">
        <w:rPr>
          <w:bCs/>
          <w:i/>
          <w:color w:val="000000"/>
          <w:sz w:val="22"/>
          <w:szCs w:val="22"/>
          <w:lang w:val="lv-LV"/>
        </w:rPr>
        <w:t>euro</w:t>
      </w:r>
      <w:r w:rsidR="00F35430" w:rsidRPr="00F35430">
        <w:rPr>
          <w:bCs/>
          <w:color w:val="000000"/>
          <w:sz w:val="22"/>
          <w:szCs w:val="22"/>
          <w:lang w:val="lv-LV"/>
        </w:rPr>
        <w:t xml:space="preserve"> un 00 centi).</w:t>
      </w:r>
    </w:p>
    <w:p w:rsidR="00F26679" w:rsidRPr="0012084F" w:rsidRDefault="00F26679" w:rsidP="00F26679">
      <w:pPr>
        <w:jc w:val="both"/>
        <w:rPr>
          <w:bCs/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priekšsēdētājs </w:t>
      </w: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Ivars Priede</w:t>
      </w:r>
    </w:p>
    <w:p w:rsidR="00E53528" w:rsidRDefault="00E53528" w:rsidP="00E53528">
      <w:pPr>
        <w:jc w:val="both"/>
        <w:rPr>
          <w:color w:val="000000"/>
          <w:sz w:val="22"/>
          <w:szCs w:val="22"/>
          <w:lang w:val="lv-LV"/>
        </w:rPr>
      </w:pPr>
    </w:p>
    <w:p w:rsidR="00E53528" w:rsidRPr="0012084F" w:rsidRDefault="00E53528" w:rsidP="00E53528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E53528" w:rsidRPr="0012084F" w:rsidRDefault="00E53528" w:rsidP="00E53528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Ivars Belte</w:t>
      </w:r>
    </w:p>
    <w:p w:rsidR="00E53528" w:rsidRDefault="00E53528" w:rsidP="00F26679">
      <w:pPr>
        <w:jc w:val="both"/>
        <w:rPr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 xml:space="preserve">Iepirkumu komisijas priekšsēdētāja vietnieks </w:t>
      </w: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Sergejs Ņesterovs</w:t>
      </w: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Iepirkumu komisijas loceklis</w:t>
      </w: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  <w:r w:rsidRPr="0012084F">
        <w:rPr>
          <w:color w:val="000000"/>
          <w:sz w:val="22"/>
          <w:szCs w:val="22"/>
          <w:lang w:val="lv-LV"/>
        </w:rPr>
        <w:t>Māris Martinsons</w:t>
      </w:r>
    </w:p>
    <w:p w:rsidR="00F26679" w:rsidRPr="0012084F" w:rsidRDefault="00F26679" w:rsidP="00F26679">
      <w:pPr>
        <w:jc w:val="both"/>
        <w:rPr>
          <w:color w:val="000000"/>
          <w:sz w:val="22"/>
          <w:szCs w:val="22"/>
          <w:lang w:val="lv-LV"/>
        </w:rPr>
      </w:pPr>
    </w:p>
    <w:p w:rsidR="00F26679" w:rsidRPr="0012084F" w:rsidRDefault="00F26679" w:rsidP="00F26679">
      <w:pPr>
        <w:spacing w:after="160" w:line="256" w:lineRule="auto"/>
        <w:rPr>
          <w:rFonts w:ascii="Calibri" w:eastAsia="Calibri" w:hAnsi="Calibri"/>
          <w:sz w:val="22"/>
          <w:szCs w:val="22"/>
          <w:lang w:val="lv-LV"/>
        </w:rPr>
      </w:pPr>
    </w:p>
    <w:sectPr w:rsidR="00F26679" w:rsidRPr="0012084F" w:rsidSect="00E53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0A0D"/>
    <w:multiLevelType w:val="hybridMultilevel"/>
    <w:tmpl w:val="8960CB0E"/>
    <w:lvl w:ilvl="0" w:tplc="2CE24AAE">
      <w:start w:val="1"/>
      <w:numFmt w:val="decimal"/>
      <w:lvlText w:val="%1."/>
      <w:lvlJc w:val="left"/>
      <w:pPr>
        <w:ind w:left="393" w:hanging="360"/>
      </w:pPr>
      <w:rPr>
        <w:rFonts w:cs="Calibri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A2534A1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79"/>
    <w:rsid w:val="00055DAC"/>
    <w:rsid w:val="000917A6"/>
    <w:rsid w:val="001A5228"/>
    <w:rsid w:val="00445147"/>
    <w:rsid w:val="004D1AC8"/>
    <w:rsid w:val="004D27AA"/>
    <w:rsid w:val="00636AAD"/>
    <w:rsid w:val="006D7C92"/>
    <w:rsid w:val="008D525A"/>
    <w:rsid w:val="00954A32"/>
    <w:rsid w:val="009B4B48"/>
    <w:rsid w:val="00A534E9"/>
    <w:rsid w:val="00CC5939"/>
    <w:rsid w:val="00DD440B"/>
    <w:rsid w:val="00E237CA"/>
    <w:rsid w:val="00E53528"/>
    <w:rsid w:val="00E8337B"/>
    <w:rsid w:val="00F26679"/>
    <w:rsid w:val="00F3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E349-5D55-40C0-B8D2-2DF0DE8F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79"/>
    <w:pPr>
      <w:ind w:left="720"/>
      <w:contextualSpacing/>
    </w:pPr>
  </w:style>
  <w:style w:type="paragraph" w:styleId="NoSpacing">
    <w:name w:val="No Spacing"/>
    <w:qFormat/>
    <w:rsid w:val="000917A6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2419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6</cp:revision>
  <cp:lastPrinted>2017-08-07T11:38:00Z</cp:lastPrinted>
  <dcterms:created xsi:type="dcterms:W3CDTF">2017-08-07T11:31:00Z</dcterms:created>
  <dcterms:modified xsi:type="dcterms:W3CDTF">2017-08-07T11:45:00Z</dcterms:modified>
</cp:coreProperties>
</file>